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auto"/>
          <w:sz w:val="72"/>
          <w:szCs w:val="72"/>
          <w:highlight w:val="none"/>
          <w:lang w:val="en-US" w:eastAsia="zh-CN"/>
        </w:rPr>
      </w:pPr>
      <w:bookmarkStart w:id="0" w:name="_Toc15306267"/>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0"/>
        <w:rPr>
          <w:rFonts w:hint="default" w:ascii="Times New Roman" w:hAnsi="Times New Roman" w:eastAsia="方正小标宋简体" w:cs="Times New Roman"/>
          <w:color w:val="auto"/>
          <w:sz w:val="72"/>
          <w:szCs w:val="72"/>
          <w:highlight w:val="none"/>
        </w:rPr>
      </w:pPr>
      <w:bookmarkStart w:id="1" w:name="_Toc15378441"/>
      <w:bookmarkStart w:id="2" w:name="_Toc15396475"/>
      <w:bookmarkStart w:id="3" w:name="_Toc15377425"/>
      <w:bookmarkStart w:id="4" w:name="_Toc15396597"/>
      <w:bookmarkStart w:id="5" w:name="_Toc15377193"/>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21</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color w:val="auto"/>
          <w:sz w:val="72"/>
          <w:szCs w:val="72"/>
          <w:highlight w:val="none"/>
        </w:rPr>
      </w:pPr>
      <w:bookmarkStart w:id="6" w:name="_Toc15377194"/>
      <w:bookmarkStart w:id="7" w:name="_Toc15396476"/>
      <w:bookmarkStart w:id="8" w:name="_Toc15378442"/>
      <w:bookmarkStart w:id="9" w:name="_Toc15396598"/>
      <w:bookmarkStart w:id="10" w:name="_Toc15377426"/>
      <w:r>
        <w:rPr>
          <w:rFonts w:hint="default" w:ascii="Times New Roman" w:hAnsi="Times New Roman" w:eastAsia="方正小标宋简体" w:cs="Times New Roman"/>
          <w:color w:val="auto"/>
          <w:sz w:val="72"/>
          <w:szCs w:val="72"/>
          <w:highlight w:val="none"/>
        </w:rPr>
        <w:t>四川省</w:t>
      </w:r>
      <w:bookmarkEnd w:id="0"/>
      <w:bookmarkStart w:id="11" w:name="_Toc15306268"/>
      <w:r>
        <w:rPr>
          <w:rFonts w:hint="default" w:ascii="Times New Roman" w:hAnsi="Times New Roman" w:eastAsia="方正小标宋简体" w:cs="Times New Roman"/>
          <w:color w:val="auto"/>
          <w:sz w:val="72"/>
          <w:szCs w:val="72"/>
          <w:highlight w:val="none"/>
          <w:lang w:val="en-US" w:eastAsia="zh-CN"/>
        </w:rPr>
        <w:t>经济合作促进中心</w:t>
      </w:r>
      <w:r>
        <w:rPr>
          <w:rFonts w:hint="default" w:ascii="Times New Roman" w:hAnsi="Times New Roman" w:eastAsia="方正小标宋简体" w:cs="Times New Roman"/>
          <w:color w:val="auto"/>
          <w:sz w:val="72"/>
          <w:szCs w:val="72"/>
          <w:highlight w:val="none"/>
          <w:lang w:eastAsia="zh-CN"/>
        </w:rPr>
        <w:t>单位</w:t>
      </w:r>
      <w:r>
        <w:rPr>
          <w:rFonts w:hint="default" w:ascii="Times New Roman" w:hAnsi="Times New Roman" w:eastAsia="方正小标宋简体" w:cs="Times New Roman"/>
          <w:color w:val="auto"/>
          <w:sz w:val="72"/>
          <w:szCs w:val="72"/>
          <w:highlight w:val="none"/>
        </w:rPr>
        <w:t>决算</w:t>
      </w:r>
      <w:bookmarkEnd w:id="6"/>
      <w:bookmarkEnd w:id="7"/>
      <w:bookmarkEnd w:id="8"/>
      <w:bookmarkEnd w:id="9"/>
      <w:bookmarkEnd w:id="10"/>
      <w:bookmarkEnd w:id="11"/>
    </w:p>
    <w:p>
      <w:pPr>
        <w:pStyle w:val="14"/>
        <w:jc w:val="center"/>
        <w:rPr>
          <w:rStyle w:val="17"/>
          <w:rFonts w:hint="default" w:ascii="Times New Roman" w:hAnsi="Times New Roman" w:cs="Times New Roman" w:eastAsiaTheme="minorEastAsia"/>
          <w:bCs/>
          <w:color w:val="auto"/>
          <w:sz w:val="24"/>
          <w:szCs w:val="22"/>
        </w:rPr>
      </w:pPr>
      <w:r>
        <w:rPr>
          <w:rFonts w:hint="default" w:ascii="Times New Roman" w:hAnsi="Times New Roman" w:eastAsia="方正小标宋简体" w:cs="Times New Roman"/>
          <w:color w:val="auto"/>
          <w:sz w:val="36"/>
          <w:szCs w:val="36"/>
          <w:highlight w:val="none"/>
        </w:rPr>
        <w:br w:type="page"/>
      </w:r>
      <w:r>
        <w:rPr>
          <w:rStyle w:val="17"/>
          <w:rFonts w:hint="default" w:ascii="Times New Roman" w:hAnsi="Times New Roman" w:cs="Times New Roman" w:eastAsiaTheme="minorEastAsia"/>
          <w:bCs/>
          <w:color w:val="auto"/>
          <w:sz w:val="24"/>
          <w:szCs w:val="22"/>
        </w:rPr>
        <w:t>目录</w:t>
      </w:r>
    </w:p>
    <w:p>
      <w:pPr>
        <w:pStyle w:val="14"/>
        <w:jc w:val="center"/>
        <w:rPr>
          <w:rStyle w:val="17"/>
          <w:rFonts w:hint="default" w:ascii="Times New Roman" w:hAnsi="Times New Roman" w:cs="Times New Roman" w:eastAsiaTheme="minorEastAsia"/>
          <w:bCs/>
          <w:color w:val="auto"/>
          <w:sz w:val="24"/>
          <w:szCs w:val="22"/>
          <w:u w:val="none"/>
        </w:rPr>
      </w:pP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公开时间：20</w:t>
      </w:r>
      <w:r>
        <w:rPr>
          <w:rStyle w:val="17"/>
          <w:rFonts w:hint="default" w:ascii="Times New Roman" w:hAnsi="Times New Roman" w:cs="Times New Roman" w:eastAsiaTheme="minorEastAsia"/>
          <w:bCs/>
          <w:color w:val="auto"/>
          <w:sz w:val="24"/>
          <w:szCs w:val="22"/>
          <w:u w:val="none"/>
          <w:lang w:val="en-US" w:eastAsia="zh-CN"/>
        </w:rPr>
        <w:t>22</w:t>
      </w:r>
      <w:r>
        <w:rPr>
          <w:rStyle w:val="17"/>
          <w:rFonts w:hint="default" w:ascii="Times New Roman" w:hAnsi="Times New Roman" w:cs="Times New Roman" w:eastAsiaTheme="minorEastAsia"/>
          <w:bCs/>
          <w:color w:val="auto"/>
          <w:sz w:val="24"/>
          <w:szCs w:val="22"/>
          <w:u w:val="none"/>
        </w:rPr>
        <w:t>年</w:t>
      </w:r>
      <w:r>
        <w:rPr>
          <w:rStyle w:val="17"/>
          <w:rFonts w:hint="default" w:ascii="Times New Roman" w:hAnsi="Times New Roman" w:cs="Times New Roman" w:eastAsiaTheme="minorEastAsia"/>
          <w:bCs/>
          <w:color w:val="auto"/>
          <w:sz w:val="24"/>
          <w:szCs w:val="22"/>
          <w:u w:val="none"/>
          <w:lang w:val="en-US" w:eastAsia="zh-CN"/>
        </w:rPr>
        <w:t>9</w:t>
      </w:r>
      <w:r>
        <w:rPr>
          <w:rStyle w:val="17"/>
          <w:rFonts w:hint="default" w:ascii="Times New Roman" w:hAnsi="Times New Roman" w:cs="Times New Roman" w:eastAsiaTheme="minorEastAsia"/>
          <w:bCs/>
          <w:color w:val="auto"/>
          <w:sz w:val="24"/>
          <w:szCs w:val="22"/>
          <w:u w:val="none"/>
        </w:rPr>
        <w:t>月</w:t>
      </w:r>
      <w:r>
        <w:rPr>
          <w:rStyle w:val="17"/>
          <w:rFonts w:hint="default" w:ascii="Times New Roman" w:hAnsi="Times New Roman" w:cs="Times New Roman" w:eastAsiaTheme="minorEastAsia"/>
          <w:bCs/>
          <w:color w:val="auto"/>
          <w:sz w:val="24"/>
          <w:szCs w:val="22"/>
          <w:u w:val="none"/>
          <w:lang w:val="en-US" w:eastAsia="zh-CN"/>
        </w:rPr>
        <w:t>9</w:t>
      </w:r>
      <w:r>
        <w:rPr>
          <w:rStyle w:val="17"/>
          <w:rFonts w:hint="default" w:ascii="Times New Roman" w:hAnsi="Times New Roman" w:cs="Times New Roman" w:eastAsiaTheme="minorEastAsia"/>
          <w:bCs/>
          <w:color w:val="auto"/>
          <w:sz w:val="24"/>
          <w:szCs w:val="22"/>
          <w:u w:val="none"/>
        </w:rPr>
        <w:t>日</w:t>
      </w:r>
    </w:p>
    <w:p>
      <w:pPr>
        <w:pStyle w:val="14"/>
        <w:rPr>
          <w:rStyle w:val="17"/>
          <w:rFonts w:hint="default" w:ascii="Times New Roman" w:hAnsi="Times New Roman" w:cs="Times New Roman" w:eastAsiaTheme="minorEastAsia"/>
          <w:bCs/>
          <w:color w:val="auto"/>
          <w:sz w:val="24"/>
          <w:szCs w:val="22"/>
          <w:u w:val="none"/>
        </w:rPr>
      </w:pP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rPr>
        <w:t xml:space="preserve">第一部分 </w:t>
      </w:r>
      <w:r>
        <w:rPr>
          <w:rStyle w:val="17"/>
          <w:rFonts w:hint="default" w:ascii="Times New Roman" w:hAnsi="Times New Roman" w:cs="Times New Roman" w:eastAsiaTheme="minorEastAsia"/>
          <w:bCs/>
          <w:color w:val="auto"/>
          <w:sz w:val="24"/>
          <w:szCs w:val="22"/>
          <w:u w:val="none"/>
          <w:lang w:eastAsia="zh-CN"/>
        </w:rPr>
        <w:t>单位</w:t>
      </w:r>
      <w:r>
        <w:rPr>
          <w:rStyle w:val="17"/>
          <w:rFonts w:hint="default" w:ascii="Times New Roman" w:hAnsi="Times New Roman" w:cs="Times New Roman" w:eastAsiaTheme="minorEastAsia"/>
          <w:bCs/>
          <w:color w:val="auto"/>
          <w:sz w:val="24"/>
          <w:szCs w:val="22"/>
          <w:u w:val="none"/>
        </w:rPr>
        <w:t>概况</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3</w:t>
      </w:r>
    </w:p>
    <w:p>
      <w:pPr>
        <w:pStyle w:val="14"/>
        <w:rPr>
          <w:rStyle w:val="17"/>
          <w:rFonts w:hint="default" w:ascii="Times New Roman" w:hAnsi="Times New Roman" w:cs="Times New Roman" w:eastAsiaTheme="minorEastAsia"/>
          <w:bCs/>
          <w:color w:val="auto"/>
          <w:sz w:val="24"/>
          <w:szCs w:val="22"/>
          <w:u w:val="none"/>
          <w:lang w:eastAsia="zh-CN"/>
        </w:rPr>
      </w:pPr>
      <w:r>
        <w:rPr>
          <w:rStyle w:val="17"/>
          <w:rFonts w:hint="default" w:ascii="Times New Roman" w:hAnsi="Times New Roman" w:cs="Times New Roman" w:eastAsiaTheme="minorEastAsia"/>
          <w:bCs/>
          <w:color w:val="auto"/>
          <w:sz w:val="24"/>
          <w:szCs w:val="22"/>
          <w:u w:val="none"/>
        </w:rPr>
        <w:t>一、职能</w:t>
      </w:r>
      <w:r>
        <w:rPr>
          <w:rStyle w:val="17"/>
          <w:rFonts w:hint="default" w:ascii="Times New Roman" w:hAnsi="Times New Roman" w:cs="Times New Roman" w:eastAsiaTheme="minorEastAsia"/>
          <w:bCs/>
          <w:color w:val="auto"/>
          <w:sz w:val="24"/>
          <w:szCs w:val="22"/>
          <w:u w:val="none"/>
          <w:lang w:eastAsia="zh-CN"/>
        </w:rPr>
        <w:t>简介</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3</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lang w:eastAsia="zh-CN"/>
        </w:rPr>
        <w:t>二、</w:t>
      </w:r>
      <w:r>
        <w:rPr>
          <w:rStyle w:val="17"/>
          <w:rFonts w:hint="default" w:ascii="Times New Roman" w:hAnsi="Times New Roman" w:cs="Times New Roman" w:eastAsiaTheme="minorEastAsia"/>
          <w:bCs/>
          <w:color w:val="auto"/>
          <w:sz w:val="24"/>
          <w:szCs w:val="22"/>
          <w:u w:val="none"/>
          <w:lang w:val="en-US" w:eastAsia="zh-CN"/>
        </w:rPr>
        <w:t>2021年重点</w:t>
      </w:r>
      <w:r>
        <w:rPr>
          <w:rStyle w:val="17"/>
          <w:rFonts w:hint="default" w:ascii="Times New Roman" w:hAnsi="Times New Roman" w:cs="Times New Roman" w:eastAsiaTheme="minorEastAsia"/>
          <w:bCs/>
          <w:color w:val="auto"/>
          <w:sz w:val="24"/>
          <w:szCs w:val="22"/>
          <w:u w:val="none"/>
        </w:rPr>
        <w:t>工作</w:t>
      </w:r>
      <w:r>
        <w:rPr>
          <w:rStyle w:val="17"/>
          <w:rFonts w:hint="default" w:ascii="Times New Roman" w:hAnsi="Times New Roman" w:cs="Times New Roman" w:eastAsiaTheme="minorEastAsia"/>
          <w:bCs/>
          <w:color w:val="auto"/>
          <w:sz w:val="24"/>
          <w:szCs w:val="22"/>
          <w:u w:val="none"/>
          <w:lang w:eastAsia="zh-CN"/>
        </w:rPr>
        <w:t>完成情况</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3</w:t>
      </w:r>
    </w:p>
    <w:p>
      <w:pPr>
        <w:pStyle w:val="14"/>
        <w:rPr>
          <w:rFonts w:hint="default"/>
          <w:lang w:eastAsia="zh-CN"/>
        </w:rPr>
      </w:pPr>
      <w:r>
        <w:rPr>
          <w:rStyle w:val="17"/>
          <w:rFonts w:hint="eastAsia" w:cs="Times New Roman" w:eastAsiaTheme="minorEastAsia"/>
          <w:bCs/>
          <w:color w:val="auto"/>
          <w:sz w:val="24"/>
          <w:szCs w:val="22"/>
          <w:u w:val="none"/>
          <w:lang w:eastAsia="zh-CN"/>
        </w:rPr>
        <w:t>三</w:t>
      </w:r>
      <w:r>
        <w:rPr>
          <w:rStyle w:val="17"/>
          <w:rFonts w:hint="default" w:ascii="Times New Roman" w:hAnsi="Times New Roman" w:cs="Times New Roman" w:eastAsiaTheme="minorEastAsia"/>
          <w:bCs/>
          <w:color w:val="auto"/>
          <w:sz w:val="24"/>
          <w:szCs w:val="22"/>
          <w:u w:val="none"/>
          <w:lang w:eastAsia="zh-CN"/>
        </w:rPr>
        <w:t>、</w:t>
      </w:r>
      <w:r>
        <w:rPr>
          <w:rStyle w:val="17"/>
          <w:rFonts w:hint="eastAsia" w:cs="Times New Roman" w:eastAsiaTheme="minorEastAsia"/>
          <w:bCs/>
          <w:color w:val="auto"/>
          <w:sz w:val="24"/>
          <w:szCs w:val="22"/>
          <w:u w:val="none"/>
          <w:lang w:eastAsia="zh-CN"/>
        </w:rPr>
        <w:t>机构设置</w:t>
      </w:r>
      <w:bookmarkStart w:id="67" w:name="_GoBack"/>
      <w:bookmarkEnd w:id="67"/>
      <w:r>
        <w:rPr>
          <w:rStyle w:val="17"/>
          <w:rFonts w:hint="default" w:ascii="Times New Roman" w:hAnsi="Times New Roman" w:cs="Times New Roman" w:eastAsiaTheme="minorEastAsia"/>
          <w:bCs/>
          <w:color w:val="auto"/>
          <w:sz w:val="24"/>
          <w:szCs w:val="22"/>
          <w:u w:val="none"/>
          <w:lang w:eastAsia="zh-CN"/>
        </w:rPr>
        <w:t>情况</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3</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第二部分</w:t>
      </w:r>
      <w:r>
        <w:rPr>
          <w:rStyle w:val="17"/>
          <w:rFonts w:hint="default" w:ascii="Times New Roman" w:hAnsi="Times New Roman" w:cs="Times New Roman" w:eastAsiaTheme="minorEastAsia"/>
          <w:bCs/>
          <w:color w:val="auto"/>
          <w:sz w:val="24"/>
          <w:szCs w:val="22"/>
          <w:u w:val="none"/>
          <w:lang w:val="en-US" w:eastAsia="zh-CN"/>
        </w:rPr>
        <w:t xml:space="preserve"> 2021年度</w:t>
      </w:r>
      <w:r>
        <w:rPr>
          <w:rStyle w:val="17"/>
          <w:rFonts w:hint="default" w:ascii="Times New Roman" w:hAnsi="Times New Roman" w:cs="Times New Roman" w:eastAsiaTheme="minorEastAsia"/>
          <w:bCs/>
          <w:color w:val="auto"/>
          <w:sz w:val="24"/>
          <w:szCs w:val="22"/>
          <w:u w:val="none"/>
          <w:lang w:eastAsia="zh-CN"/>
        </w:rPr>
        <w:t>单位</w:t>
      </w:r>
      <w:r>
        <w:rPr>
          <w:rStyle w:val="17"/>
          <w:rFonts w:hint="default" w:ascii="Times New Roman" w:hAnsi="Times New Roman" w:cs="Times New Roman" w:eastAsiaTheme="minorEastAsia"/>
          <w:bCs/>
          <w:color w:val="auto"/>
          <w:sz w:val="24"/>
          <w:szCs w:val="22"/>
          <w:u w:val="none"/>
        </w:rPr>
        <w:t>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6</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rPr>
        <w:t>一、收入支出决算总体情况说明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6</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rPr>
        <w:t>二、收入决算情况说明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6</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三、支出决算情况说明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7</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四、财政拨款收入支出决算总体情况说明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7</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五、一般公共预算财政拨款支出决算情况说明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8</w:t>
      </w:r>
    </w:p>
    <w:p>
      <w:pPr>
        <w:pStyle w:val="14"/>
        <w:rPr>
          <w:rStyle w:val="17"/>
          <w:rFonts w:hint="default" w:ascii="Times New Roman" w:hAnsi="Times New Roman" w:cs="Times New Roman" w:eastAsiaTheme="minorEastAsia"/>
          <w:bCs/>
          <w:color w:val="auto"/>
          <w:sz w:val="24"/>
          <w:szCs w:val="22"/>
          <w:u w:val="none"/>
          <w:lang w:val="en-US"/>
        </w:rPr>
      </w:pPr>
      <w:r>
        <w:rPr>
          <w:rStyle w:val="17"/>
          <w:rFonts w:hint="default" w:ascii="Times New Roman" w:hAnsi="Times New Roman" w:cs="Times New Roman" w:eastAsiaTheme="minorEastAsia"/>
          <w:bCs/>
          <w:color w:val="auto"/>
          <w:sz w:val="24"/>
          <w:szCs w:val="22"/>
          <w:u w:val="none"/>
        </w:rPr>
        <w:t>六、一般公共预算财政拨款基本支出决算情况说明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10</w:t>
      </w:r>
    </w:p>
    <w:p>
      <w:pPr>
        <w:pStyle w:val="14"/>
        <w:rPr>
          <w:rStyle w:val="17"/>
          <w:rFonts w:hint="default" w:ascii="Times New Roman" w:hAnsi="Times New Roman" w:cs="Times New Roman" w:eastAsiaTheme="minorEastAsia"/>
          <w:bCs/>
          <w:color w:val="auto"/>
          <w:sz w:val="24"/>
          <w:szCs w:val="22"/>
          <w:u w:val="none"/>
          <w:lang w:val="en-US"/>
        </w:rPr>
      </w:pPr>
      <w:r>
        <w:rPr>
          <w:rStyle w:val="17"/>
          <w:rFonts w:hint="default" w:ascii="Times New Roman" w:hAnsi="Times New Roman" w:cs="Times New Roman" w:eastAsiaTheme="minorEastAsia"/>
          <w:bCs/>
          <w:color w:val="auto"/>
          <w:sz w:val="24"/>
          <w:szCs w:val="22"/>
          <w:u w:val="none"/>
        </w:rPr>
        <w:t>七、</w:t>
      </w:r>
      <w:r>
        <w:rPr>
          <w:rStyle w:val="17"/>
          <w:rFonts w:hint="default" w:ascii="Times New Roman" w:hAnsi="Times New Roman" w:cs="Times New Roman" w:eastAsiaTheme="minorEastAsia"/>
          <w:bCs/>
          <w:color w:val="auto"/>
          <w:sz w:val="24"/>
          <w:szCs w:val="22"/>
          <w:u w:val="none"/>
          <w:lang w:eastAsia="zh-CN"/>
        </w:rPr>
        <w:t>“</w:t>
      </w:r>
      <w:r>
        <w:rPr>
          <w:rStyle w:val="17"/>
          <w:rFonts w:hint="default" w:ascii="Times New Roman" w:hAnsi="Times New Roman" w:cs="Times New Roman" w:eastAsiaTheme="minorEastAsia"/>
          <w:bCs/>
          <w:color w:val="auto"/>
          <w:sz w:val="24"/>
          <w:szCs w:val="22"/>
          <w:u w:val="none"/>
        </w:rPr>
        <w:t>三公”经费财政拨款支出决算情况说明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11</w:t>
      </w:r>
    </w:p>
    <w:p>
      <w:pPr>
        <w:pStyle w:val="14"/>
        <w:rPr>
          <w:rStyle w:val="17"/>
          <w:rFonts w:hint="default" w:ascii="Times New Roman" w:hAnsi="Times New Roman" w:cs="Times New Roman" w:eastAsiaTheme="minorEastAsia"/>
          <w:bCs/>
          <w:color w:val="auto"/>
          <w:sz w:val="24"/>
          <w:szCs w:val="22"/>
          <w:u w:val="none"/>
          <w:lang w:val="en-US"/>
        </w:rPr>
      </w:pPr>
      <w:r>
        <w:rPr>
          <w:rStyle w:val="17"/>
          <w:rFonts w:hint="default" w:ascii="Times New Roman" w:hAnsi="Times New Roman" w:cs="Times New Roman" w:eastAsiaTheme="minorEastAsia"/>
          <w:bCs/>
          <w:color w:val="auto"/>
          <w:sz w:val="24"/>
          <w:szCs w:val="22"/>
          <w:u w:val="none"/>
        </w:rPr>
        <w:t>八、政府性基金预算支出决算情况说明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13</w:t>
      </w:r>
    </w:p>
    <w:p>
      <w:pPr>
        <w:pStyle w:val="14"/>
        <w:rPr>
          <w:rStyle w:val="17"/>
          <w:rFonts w:hint="default" w:ascii="Times New Roman" w:hAnsi="Times New Roman" w:cs="Times New Roman" w:eastAsiaTheme="minorEastAsia"/>
          <w:bCs/>
          <w:color w:val="auto"/>
          <w:sz w:val="24"/>
          <w:szCs w:val="22"/>
          <w:u w:val="none"/>
          <w:lang w:val="en-US"/>
        </w:rPr>
      </w:pPr>
      <w:r>
        <w:rPr>
          <w:rStyle w:val="17"/>
          <w:rFonts w:hint="default" w:ascii="Times New Roman" w:hAnsi="Times New Roman" w:cs="Times New Roman" w:eastAsiaTheme="minorEastAsia"/>
          <w:bCs/>
          <w:color w:val="auto"/>
          <w:sz w:val="24"/>
          <w:szCs w:val="22"/>
          <w:u w:val="none"/>
        </w:rPr>
        <w:t>九、国有资本经营预算支出决算情况说明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13</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rPr>
        <w:t>十、其他重要事项的情况说明</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13</w:t>
      </w:r>
    </w:p>
    <w:p>
      <w:pPr>
        <w:pStyle w:val="14"/>
        <w:rPr>
          <w:rStyle w:val="17"/>
          <w:rFonts w:hint="default" w:ascii="Times New Roman" w:hAnsi="Times New Roman" w:cs="Times New Roman" w:eastAsiaTheme="minorEastAsia"/>
          <w:bCs/>
          <w:color w:val="auto"/>
          <w:sz w:val="24"/>
          <w:szCs w:val="22"/>
          <w:u w:val="none"/>
          <w:lang w:val="en-US"/>
        </w:rPr>
      </w:pPr>
      <w:r>
        <w:rPr>
          <w:rStyle w:val="17"/>
          <w:rFonts w:hint="default" w:ascii="Times New Roman" w:hAnsi="Times New Roman" w:cs="Times New Roman" w:eastAsiaTheme="minorEastAsia"/>
          <w:bCs/>
          <w:color w:val="auto"/>
          <w:sz w:val="24"/>
          <w:szCs w:val="22"/>
          <w:u w:val="none"/>
        </w:rPr>
        <w:t>第三部分 名词解释</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15</w:t>
      </w:r>
    </w:p>
    <w:p>
      <w:pPr>
        <w:pStyle w:val="14"/>
        <w:rPr>
          <w:rStyle w:val="17"/>
          <w:rFonts w:hint="default" w:ascii="Times New Roman" w:hAnsi="Times New Roman" w:cs="Times New Roman" w:eastAsiaTheme="minorEastAsia"/>
          <w:bCs/>
          <w:color w:val="auto"/>
          <w:sz w:val="24"/>
          <w:szCs w:val="22"/>
          <w:u w:val="none"/>
          <w:lang w:val="en-US"/>
        </w:rPr>
      </w:pPr>
      <w:r>
        <w:rPr>
          <w:rStyle w:val="17"/>
          <w:rFonts w:hint="default" w:ascii="Times New Roman" w:hAnsi="Times New Roman" w:cs="Times New Roman" w:eastAsiaTheme="minorEastAsia"/>
          <w:bCs/>
          <w:color w:val="auto"/>
          <w:sz w:val="24"/>
          <w:szCs w:val="22"/>
          <w:u w:val="none"/>
        </w:rPr>
        <w:t>第四部分 附件</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17</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rPr>
        <w:t>第五部分 附表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一、收入支出决算总表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二、收入决算表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rPr>
        <w:t>三、支出决算表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四、财政拨款收入支出决算总表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五、财政拨款支出决算明细表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六、一般公共预算财政拨款支出决算表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七、一般公共预算财政拨款支出决算明细表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八、一般公共预算财政拨款基本支出决算表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九、一般公共预算财政拨款项目支出决算表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十、一般公共预算财政拨款“三公”经费支出决算表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十一、政府性基金预算财政拨款收入支出决算表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十二、政府性基金预算财政拨款“三公”经费支出决算表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rPr>
      </w:pPr>
      <w:r>
        <w:rPr>
          <w:rStyle w:val="17"/>
          <w:rFonts w:hint="default" w:ascii="Times New Roman" w:hAnsi="Times New Roman" w:cs="Times New Roman" w:eastAsiaTheme="minorEastAsia"/>
          <w:bCs/>
          <w:color w:val="auto"/>
          <w:sz w:val="24"/>
          <w:szCs w:val="22"/>
          <w:u w:val="none"/>
        </w:rPr>
        <w:t>十三、国有资本经营预算</w:t>
      </w:r>
      <w:r>
        <w:rPr>
          <w:rStyle w:val="17"/>
          <w:rFonts w:hint="default" w:ascii="Times New Roman" w:hAnsi="Times New Roman" w:cs="Times New Roman" w:eastAsiaTheme="minorEastAsia"/>
          <w:bCs/>
          <w:color w:val="auto"/>
          <w:sz w:val="24"/>
          <w:szCs w:val="22"/>
          <w:u w:val="none"/>
          <w:lang w:eastAsia="zh-CN"/>
        </w:rPr>
        <w:t>财政拨款收入</w:t>
      </w:r>
      <w:r>
        <w:rPr>
          <w:rStyle w:val="17"/>
          <w:rFonts w:hint="default" w:ascii="Times New Roman" w:hAnsi="Times New Roman" w:cs="Times New Roman" w:eastAsiaTheme="minorEastAsia"/>
          <w:bCs/>
          <w:color w:val="auto"/>
          <w:sz w:val="24"/>
          <w:szCs w:val="22"/>
          <w:u w:val="none"/>
        </w:rPr>
        <w:t>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u w:val="none"/>
          <w:lang w:val="en-US" w:eastAsia="zh-CN"/>
        </w:rPr>
      </w:pPr>
      <w:r>
        <w:rPr>
          <w:rStyle w:val="17"/>
          <w:rFonts w:hint="default" w:ascii="Times New Roman" w:hAnsi="Times New Roman" w:cs="Times New Roman" w:eastAsiaTheme="minorEastAsia"/>
          <w:bCs/>
          <w:color w:val="auto"/>
          <w:sz w:val="24"/>
          <w:szCs w:val="22"/>
          <w:u w:val="none"/>
          <w:lang w:val="en-US" w:eastAsia="zh-CN"/>
        </w:rPr>
        <w:t>十四、国有资本经营预算财政拨款支出决算表</w:t>
      </w:r>
      <w:r>
        <w:rPr>
          <w:rStyle w:val="17"/>
          <w:rFonts w:hint="default" w:ascii="Times New Roman" w:hAnsi="Times New Roman" w:cs="Times New Roman" w:eastAsiaTheme="minorEastAsia"/>
          <w:bCs/>
          <w:color w:val="auto"/>
          <w:sz w:val="24"/>
          <w:szCs w:val="22"/>
          <w:u w:val="none"/>
        </w:rPr>
        <w:tab/>
      </w:r>
      <w:r>
        <w:rPr>
          <w:rStyle w:val="17"/>
          <w:rFonts w:hint="default" w:ascii="Times New Roman" w:hAnsi="Times New Roman" w:cs="Times New Roman" w:eastAsiaTheme="minorEastAsia"/>
          <w:bCs/>
          <w:color w:val="auto"/>
          <w:sz w:val="24"/>
          <w:szCs w:val="22"/>
          <w:u w:val="none"/>
          <w:lang w:val="en-US" w:eastAsia="zh-CN"/>
        </w:rPr>
        <w:t>18</w:t>
      </w:r>
    </w:p>
    <w:p>
      <w:pPr>
        <w:pStyle w:val="14"/>
        <w:rPr>
          <w:rStyle w:val="17"/>
          <w:rFonts w:hint="default" w:ascii="Times New Roman" w:hAnsi="Times New Roman" w:cs="Times New Roman" w:eastAsiaTheme="minorEastAsia"/>
          <w:bCs/>
          <w:color w:val="auto"/>
          <w:sz w:val="24"/>
          <w:szCs w:val="22"/>
        </w:rPr>
      </w:pPr>
      <w:bookmarkStart w:id="12" w:name="_Toc15377196"/>
      <w:bookmarkStart w:id="13" w:name="_Toc15396599"/>
      <w:r>
        <w:rPr>
          <w:rStyle w:val="17"/>
          <w:rFonts w:hint="default" w:ascii="Times New Roman" w:hAnsi="Times New Roman" w:cs="Times New Roman" w:eastAsiaTheme="minorEastAsia"/>
          <w:bCs/>
          <w:color w:val="auto"/>
          <w:sz w:val="24"/>
          <w:szCs w:val="22"/>
        </w:rPr>
        <w:br w:type="page"/>
      </w:r>
    </w:p>
    <w:p>
      <w:pPr>
        <w:pStyle w:val="4"/>
        <w:jc w:val="center"/>
        <w:rPr>
          <w:rFonts w:hint="default" w:ascii="Times New Roman" w:hAnsi="Times New Roman" w:cs="Times New Roman"/>
        </w:rPr>
      </w:pPr>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7"/>
          <w:rFonts w:hint="default" w:ascii="Times New Roman" w:hAnsi="Times New Roman" w:eastAsia="黑体" w:cs="Times New Roman"/>
          <w:b w:val="0"/>
          <w:bCs w:val="0"/>
          <w:color w:val="auto"/>
          <w:highlight w:val="none"/>
        </w:rPr>
        <w:t>概况</w:t>
      </w:r>
      <w:bookmarkEnd w:id="12"/>
      <w:bookmarkEnd w:id="13"/>
    </w:p>
    <w:p>
      <w:pPr>
        <w:pStyle w:val="5"/>
        <w:numPr>
          <w:ilvl w:val="0"/>
          <w:numId w:val="0"/>
        </w:numPr>
        <w:ind w:firstLine="640" w:firstLineChars="200"/>
        <w:rPr>
          <w:rFonts w:hint="default" w:ascii="Times New Roman" w:hAnsi="Times New Roman" w:eastAsia="仿宋_GB2312" w:cs="Times New Roman"/>
          <w:sz w:val="32"/>
          <w:szCs w:val="32"/>
        </w:rPr>
      </w:pPr>
      <w:bookmarkStart w:id="14" w:name="_Toc15396600"/>
      <w:bookmarkStart w:id="15" w:name="_Toc15377197"/>
      <w:r>
        <w:rPr>
          <w:rStyle w:val="28"/>
          <w:rFonts w:hint="default" w:ascii="Times New Roman" w:hAnsi="Times New Roman" w:eastAsia="黑体" w:cs="Times New Roman"/>
          <w:b w:val="0"/>
          <w:bCs w:val="0"/>
          <w:color w:val="auto"/>
          <w:highlight w:val="none"/>
          <w:lang w:val="en-US" w:eastAsia="zh-CN"/>
        </w:rPr>
        <w:t>一、</w:t>
      </w:r>
      <w:r>
        <w:rPr>
          <w:rStyle w:val="28"/>
          <w:rFonts w:hint="default" w:ascii="Times New Roman" w:hAnsi="Times New Roman" w:eastAsia="黑体" w:cs="Times New Roman"/>
          <w:b w:val="0"/>
          <w:bCs w:val="0"/>
          <w:color w:val="auto"/>
          <w:highlight w:val="none"/>
        </w:rPr>
        <w:t>职能</w:t>
      </w:r>
      <w:r>
        <w:rPr>
          <w:rStyle w:val="28"/>
          <w:rFonts w:hint="default" w:ascii="Times New Roman" w:hAnsi="Times New Roman" w:eastAsia="黑体" w:cs="Times New Roman"/>
          <w:b w:val="0"/>
          <w:bCs w:val="0"/>
          <w:color w:val="auto"/>
          <w:highlight w:val="none"/>
          <w:lang w:eastAsia="zh-CN"/>
        </w:rPr>
        <w:t>简介</w:t>
      </w:r>
    </w:p>
    <w:p>
      <w:pPr>
        <w:pStyle w:val="5"/>
        <w:numPr>
          <w:ilvl w:val="0"/>
          <w:numId w:val="0"/>
        </w:numPr>
        <w:ind w:firstLine="640" w:firstLineChars="200"/>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负责全省重大招商引资项目的促进和落实；参与全省投资环境推介工作；参与省级重大投资促进活动；参与全省内、外资招商的协调、服务等工作。负责开放合作、投资促进信息的收集、分析；提出开放合作、投资促进对策和建议；负责建立健全相关产业目标企业库和投资人信息网络。参与推动全省博览发展促进工作。</w:t>
      </w:r>
    </w:p>
    <w:p>
      <w:pPr>
        <w:pStyle w:val="5"/>
        <w:numPr>
          <w:ilvl w:val="0"/>
          <w:numId w:val="0"/>
        </w:numPr>
        <w:ind w:firstLine="640" w:firstLineChars="200"/>
        <w:rPr>
          <w:rFonts w:hint="default" w:ascii="Times New Roman" w:hAnsi="Times New Roman" w:eastAsia="黑体" w:cs="Times New Roman"/>
          <w:b w:val="0"/>
          <w:color w:val="auto"/>
          <w:highlight w:val="none"/>
          <w:lang w:eastAsia="zh-CN"/>
        </w:rPr>
      </w:pPr>
      <w:r>
        <w:rPr>
          <w:rFonts w:hint="default" w:ascii="Times New Roman" w:hAnsi="Times New Roman" w:eastAsia="黑体" w:cs="Times New Roman"/>
          <w:b w:val="0"/>
          <w:color w:val="auto"/>
          <w:highlight w:val="none"/>
          <w:lang w:val="en-US" w:eastAsia="zh-CN"/>
        </w:rPr>
        <w:t>二、2021年重点</w:t>
      </w:r>
      <w:r>
        <w:rPr>
          <w:rFonts w:hint="default" w:ascii="Times New Roman" w:hAnsi="Times New Roman" w:eastAsia="黑体" w:cs="Times New Roman"/>
          <w:b w:val="0"/>
          <w:color w:val="auto"/>
          <w:highlight w:val="none"/>
        </w:rPr>
        <w:t>工作</w:t>
      </w:r>
      <w:bookmarkEnd w:id="14"/>
      <w:bookmarkEnd w:id="15"/>
      <w:r>
        <w:rPr>
          <w:rFonts w:hint="default" w:ascii="Times New Roman" w:hAnsi="Times New Roman" w:eastAsia="黑体" w:cs="Times New Roman"/>
          <w:b w:val="0"/>
          <w:color w:val="auto"/>
          <w:highlight w:val="none"/>
          <w:lang w:eastAsia="zh-CN"/>
        </w:rPr>
        <w:t>完成情况</w:t>
      </w:r>
    </w:p>
    <w:p>
      <w:pPr>
        <w:keepNext w:val="0"/>
        <w:keepLines w:val="0"/>
        <w:pageBreakBefore w:val="0"/>
        <w:kinsoku/>
        <w:wordWrap/>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楷体_GB2312" w:cs="Times New Roman"/>
          <w:b/>
          <w:bCs/>
          <w:kern w:val="0"/>
          <w:sz w:val="32"/>
          <w:szCs w:val="32"/>
          <w:lang w:val="en-US" w:eastAsia="zh-CN"/>
        </w:rPr>
        <w:t>（一）</w:t>
      </w:r>
      <w:r>
        <w:rPr>
          <w:rFonts w:hint="default" w:ascii="Times New Roman" w:hAnsi="Times New Roman" w:eastAsia="楷体_GB2312" w:cs="Times New Roman"/>
          <w:b/>
          <w:bCs/>
          <w:kern w:val="0"/>
          <w:sz w:val="32"/>
          <w:szCs w:val="32"/>
        </w:rPr>
        <w:t>聚焦构建现代产业体系，重大项目促进精准有力。</w:t>
      </w:r>
      <w:r>
        <w:rPr>
          <w:rFonts w:hint="default" w:ascii="Times New Roman" w:hAnsi="Times New Roman" w:eastAsia="仿宋_GB2312" w:cs="Times New Roman"/>
          <w:b/>
          <w:bCs/>
          <w:kern w:val="0"/>
          <w:sz w:val="32"/>
          <w:szCs w:val="32"/>
          <w:lang w:eastAsia="zh-CN"/>
        </w:rPr>
        <w:t>一是</w:t>
      </w:r>
      <w:r>
        <w:rPr>
          <w:rFonts w:hint="default" w:ascii="Times New Roman" w:hAnsi="Times New Roman" w:eastAsia="仿宋_GB2312" w:cs="Times New Roman"/>
          <w:b/>
          <w:bCs/>
          <w:kern w:val="0"/>
          <w:sz w:val="32"/>
          <w:szCs w:val="32"/>
        </w:rPr>
        <w:t>扎实开展产业链招商。</w:t>
      </w:r>
      <w:r>
        <w:rPr>
          <w:rFonts w:hint="default" w:ascii="Times New Roman" w:hAnsi="Times New Roman" w:eastAsia="仿宋_GB2312" w:cs="Times New Roman"/>
          <w:b w:val="0"/>
          <w:bCs w:val="0"/>
          <w:kern w:val="0"/>
          <w:sz w:val="32"/>
          <w:szCs w:val="32"/>
        </w:rPr>
        <w:t>深入研判新发展格局背景下的招商形势，制定加强“走出去”招商举措，灵活组建专业招商小分队，围绕主导产业，瞄准重点区域，锁定目标企业，积极“走出去”拜访对接，主动“请进来”考察洽谈，“点对点”精准招商，促成中信集团、中国融通集团、中国铁建等企业与我省签订战略合作协议，投资220亿元的江苏蜂巢（成都）动力电池制造、投资110亿元的吉利（宜宾）英伦品牌新能源汽车制造、投资100亿元的福建厦门钨业（雅安）锂电材料生产、投资5亿美元的美国雅保（眉山）锂电池材料生产等一批重大项目签约落地。</w:t>
      </w:r>
      <w:r>
        <w:rPr>
          <w:rFonts w:hint="default" w:ascii="Times New Roman" w:hAnsi="Times New Roman" w:eastAsia="仿宋_GB2312" w:cs="Times New Roman"/>
          <w:b/>
          <w:bCs/>
          <w:kern w:val="0"/>
          <w:sz w:val="32"/>
          <w:szCs w:val="32"/>
          <w:lang w:eastAsia="zh-CN"/>
        </w:rPr>
        <w:t>二是配合局机关高水平举办平台活动。</w:t>
      </w:r>
      <w:r>
        <w:rPr>
          <w:rFonts w:hint="default" w:ascii="Times New Roman" w:hAnsi="Times New Roman" w:eastAsia="仿宋_GB2312" w:cs="Times New Roman"/>
          <w:b w:val="0"/>
          <w:bCs w:val="0"/>
          <w:kern w:val="0"/>
          <w:sz w:val="32"/>
          <w:szCs w:val="32"/>
          <w:lang w:eastAsia="zh-CN"/>
        </w:rPr>
        <w:t>配合局机关</w:t>
      </w:r>
      <w:r>
        <w:rPr>
          <w:rFonts w:hint="default" w:ascii="Times New Roman" w:hAnsi="Times New Roman" w:eastAsia="仿宋_GB2312" w:cs="Times New Roman"/>
          <w:b w:val="0"/>
          <w:bCs w:val="0"/>
          <w:kern w:val="0"/>
          <w:sz w:val="32"/>
          <w:szCs w:val="32"/>
        </w:rPr>
        <w:t>成功举办2021中外知名企业四川行，促成中国企业家发展年会与“四川行”活动同期举行；精心筹办第十八届西博会，举办投资推介、经济论坛、国际经贸交流等系列活动70余场</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两大活动</w:t>
      </w:r>
      <w:r>
        <w:rPr>
          <w:rFonts w:hint="default" w:ascii="Times New Roman" w:hAnsi="Times New Roman" w:eastAsia="仿宋_GB2312" w:cs="Times New Roman"/>
          <w:b w:val="0"/>
          <w:bCs w:val="0"/>
          <w:kern w:val="0"/>
          <w:sz w:val="32"/>
          <w:szCs w:val="32"/>
          <w:lang w:eastAsia="zh-CN"/>
        </w:rPr>
        <w:t>吸引</w:t>
      </w:r>
      <w:r>
        <w:rPr>
          <w:rFonts w:hint="default" w:ascii="Times New Roman" w:hAnsi="Times New Roman" w:eastAsia="仿宋_GB2312" w:cs="Times New Roman"/>
          <w:b w:val="0"/>
          <w:bCs w:val="0"/>
          <w:kern w:val="0"/>
          <w:sz w:val="32"/>
          <w:szCs w:val="32"/>
        </w:rPr>
        <w:t>4700多家企业</w:t>
      </w:r>
      <w:r>
        <w:rPr>
          <w:rFonts w:hint="default" w:ascii="Times New Roman" w:hAnsi="Times New Roman" w:eastAsia="仿宋_GB2312" w:cs="Times New Roman"/>
          <w:b w:val="0"/>
          <w:bCs w:val="0"/>
          <w:kern w:val="0"/>
          <w:sz w:val="32"/>
          <w:szCs w:val="32"/>
          <w:lang w:eastAsia="zh-CN"/>
        </w:rPr>
        <w:t>来川</w:t>
      </w:r>
      <w:r>
        <w:rPr>
          <w:rFonts w:hint="default" w:ascii="Times New Roman" w:hAnsi="Times New Roman" w:eastAsia="仿宋_GB2312" w:cs="Times New Roman"/>
          <w:b w:val="0"/>
          <w:bCs w:val="0"/>
          <w:kern w:val="0"/>
          <w:sz w:val="32"/>
          <w:szCs w:val="32"/>
        </w:rPr>
        <w:t>，各市（州）举办形式多样的投资推介、项目对接活动共36场。突出专业领域和产业主题，专项筹划举办新型显示产业链四川机遇推介会、中国（四川）先进材料推进会、四川省航空产业合作交流会等活动30余场。全年省级平台签约江苏中航锂电、广东三环集团等项目1388个。</w:t>
      </w:r>
      <w:r>
        <w:rPr>
          <w:rFonts w:hint="default" w:ascii="Times New Roman" w:hAnsi="Times New Roman" w:eastAsia="仿宋_GB2312" w:cs="Times New Roman"/>
          <w:b/>
          <w:bCs/>
          <w:kern w:val="0"/>
          <w:sz w:val="32"/>
          <w:szCs w:val="32"/>
          <w:lang w:eastAsia="zh-CN"/>
        </w:rPr>
        <w:t>三是做实项目落地服务。</w:t>
      </w:r>
      <w:r>
        <w:rPr>
          <w:rFonts w:hint="default" w:ascii="Times New Roman" w:hAnsi="Times New Roman" w:eastAsia="仿宋_GB2312" w:cs="Times New Roman"/>
          <w:b w:val="0"/>
          <w:bCs w:val="0"/>
          <w:kern w:val="0"/>
          <w:sz w:val="32"/>
          <w:szCs w:val="32"/>
        </w:rPr>
        <w:t>召开知名企业在川投资发展交流座谈会，主动跟踪促进项目落地落实。完善银政企合作机制，与工行、农行、邮储银行等6家国有银行四川省分行开展战略合作，推出《银行金融服务联系手册》，推动银行参与投资促进，协调解决企业融资难题。深入开展“进千企”活动，走访企业</w:t>
      </w:r>
      <w:r>
        <w:rPr>
          <w:rFonts w:hint="default" w:ascii="Times New Roman" w:hAnsi="Times New Roman" w:eastAsia="仿宋_GB2312" w:cs="Times New Roman"/>
          <w:b w:val="0"/>
          <w:bCs w:val="0"/>
          <w:color w:val="000000"/>
          <w:sz w:val="32"/>
          <w:szCs w:val="32"/>
          <w:lang w:val="en-US" w:eastAsia="zh-CN"/>
        </w:rPr>
        <w:t>3300</w:t>
      </w:r>
      <w:r>
        <w:rPr>
          <w:rFonts w:hint="default" w:ascii="Times New Roman" w:hAnsi="Times New Roman" w:eastAsia="仿宋_GB2312" w:cs="Times New Roman"/>
          <w:b w:val="0"/>
          <w:bCs w:val="0"/>
          <w:kern w:val="0"/>
          <w:sz w:val="32"/>
          <w:szCs w:val="32"/>
        </w:rPr>
        <w:t>多家，座谈企业450余家，</w:t>
      </w:r>
      <w:r>
        <w:rPr>
          <w:rFonts w:hint="default" w:ascii="Times New Roman" w:hAnsi="Times New Roman" w:eastAsia="仿宋_GB2312" w:cs="Times New Roman"/>
          <w:b w:val="0"/>
          <w:bCs w:val="0"/>
          <w:kern w:val="0"/>
          <w:sz w:val="32"/>
          <w:szCs w:val="32"/>
          <w:lang w:eastAsia="zh-CN"/>
        </w:rPr>
        <w:t>帮助</w:t>
      </w:r>
      <w:r>
        <w:rPr>
          <w:rFonts w:hint="default" w:ascii="Times New Roman" w:hAnsi="Times New Roman" w:eastAsia="仿宋_GB2312" w:cs="Times New Roman"/>
          <w:b w:val="0"/>
          <w:bCs w:val="0"/>
          <w:kern w:val="0"/>
          <w:sz w:val="32"/>
          <w:szCs w:val="32"/>
        </w:rPr>
        <w:t>协调解决</w:t>
      </w:r>
      <w:r>
        <w:rPr>
          <w:rFonts w:hint="default" w:ascii="Times New Roman" w:hAnsi="Times New Roman" w:eastAsia="仿宋_GB2312" w:cs="Times New Roman"/>
          <w:b w:val="0"/>
          <w:bCs w:val="0"/>
          <w:kern w:val="0"/>
          <w:sz w:val="32"/>
          <w:szCs w:val="32"/>
          <w:lang w:eastAsia="zh-CN"/>
        </w:rPr>
        <w:t>一批项目</w:t>
      </w:r>
      <w:r>
        <w:rPr>
          <w:rFonts w:hint="default" w:ascii="Times New Roman" w:hAnsi="Times New Roman" w:eastAsia="仿宋_GB2312" w:cs="Times New Roman"/>
          <w:b w:val="0"/>
          <w:bCs w:val="0"/>
          <w:kern w:val="0"/>
          <w:sz w:val="32"/>
          <w:szCs w:val="32"/>
        </w:rPr>
        <w:t>审批、用地、招工等方面困难问题。</w:t>
      </w:r>
      <w:r>
        <w:rPr>
          <w:rFonts w:hint="default" w:ascii="Times New Roman" w:hAnsi="Times New Roman" w:eastAsia="仿宋_GB2312" w:cs="Times New Roman"/>
          <w:b w:val="0"/>
          <w:bCs w:val="0"/>
          <w:kern w:val="0"/>
          <w:sz w:val="32"/>
          <w:szCs w:val="32"/>
          <w:lang w:eastAsia="zh-CN"/>
        </w:rPr>
        <w:t>预计</w:t>
      </w:r>
      <w:r>
        <w:rPr>
          <w:rFonts w:hint="default" w:ascii="Times New Roman" w:hAnsi="Times New Roman" w:eastAsia="仿宋_GB2312" w:cs="Times New Roman"/>
          <w:b w:val="0"/>
          <w:bCs w:val="0"/>
          <w:kern w:val="0"/>
          <w:sz w:val="32"/>
          <w:szCs w:val="32"/>
        </w:rPr>
        <w:t>纳入督办的省级平台签约项目履约率、开工率、资金到位率分别达到</w:t>
      </w:r>
      <w:r>
        <w:rPr>
          <w:rFonts w:hint="default" w:ascii="Times New Roman" w:hAnsi="Times New Roman" w:eastAsia="仿宋_GB2312" w:cs="Times New Roman"/>
          <w:b w:val="0"/>
          <w:bCs w:val="0"/>
          <w:kern w:val="0"/>
          <w:sz w:val="32"/>
          <w:szCs w:val="32"/>
          <w:lang w:val="en-US" w:eastAsia="zh-CN"/>
        </w:rPr>
        <w:t>96.01</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lang w:val="en-US" w:eastAsia="zh-CN"/>
        </w:rPr>
        <w:t>91.85</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42.72%</w:t>
      </w:r>
      <w:r>
        <w:rPr>
          <w:rFonts w:hint="default" w:ascii="Times New Roman" w:hAnsi="Times New Roman" w:eastAsia="仿宋_GB2312" w:cs="Times New Roman"/>
          <w:b w:val="0"/>
          <w:bCs w:val="0"/>
          <w:kern w:val="0"/>
          <w:sz w:val="32"/>
          <w:szCs w:val="32"/>
          <w:lang w:eastAsia="zh-CN"/>
        </w:rPr>
        <w:t>。</w:t>
      </w:r>
    </w:p>
    <w:p>
      <w:pPr>
        <w:keepNext w:val="0"/>
        <w:keepLines w:val="0"/>
        <w:pageBreakBefore w:val="0"/>
        <w:kinsoku/>
        <w:wordWrap/>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kern w:val="0"/>
          <w:sz w:val="32"/>
          <w:szCs w:val="32"/>
          <w:lang w:val="en-US" w:eastAsia="zh-CN"/>
        </w:rPr>
      </w:pPr>
      <w:r>
        <w:rPr>
          <w:rFonts w:hint="default" w:ascii="Times New Roman" w:hAnsi="Times New Roman" w:eastAsia="楷体_GB2312" w:cs="Times New Roman"/>
          <w:b/>
          <w:bCs/>
          <w:kern w:val="0"/>
          <w:sz w:val="32"/>
          <w:szCs w:val="32"/>
          <w:lang w:val="en-US" w:eastAsia="zh-CN"/>
        </w:rPr>
        <w:t>（二）注重各方协同联动，招商合力充分凝聚。</w:t>
      </w:r>
    </w:p>
    <w:p>
      <w:pPr>
        <w:keepNext w:val="0"/>
        <w:keepLines w:val="0"/>
        <w:pageBreakBefore w:val="0"/>
        <w:kinsoku/>
        <w:wordWrap/>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bCs/>
          <w:kern w:val="0"/>
          <w:sz w:val="32"/>
          <w:szCs w:val="32"/>
          <w:lang w:eastAsia="zh-CN"/>
        </w:rPr>
        <w:t>一是联动市（州）招商。</w:t>
      </w:r>
      <w:r>
        <w:rPr>
          <w:rFonts w:hint="default" w:ascii="Times New Roman" w:hAnsi="Times New Roman" w:eastAsia="仿宋_GB2312" w:cs="Times New Roman"/>
          <w:b w:val="0"/>
          <w:bCs w:val="0"/>
          <w:kern w:val="0"/>
          <w:sz w:val="32"/>
          <w:szCs w:val="32"/>
        </w:rPr>
        <w:t>深入市（州）调研产业发展和招商引资情况，结合区域产业规划布局，有针对性地组织行业领域知名企业、异地商会会员企业等到市（州）考察；邀请市（州）在省级相关产业专题招商活动中作投资推介，组织与企业面对面专项对接洽谈，为市（州）招商搭台。</w:t>
      </w:r>
      <w:r>
        <w:rPr>
          <w:rFonts w:hint="default" w:ascii="Times New Roman" w:hAnsi="Times New Roman" w:eastAsia="仿宋_GB2312" w:cs="Times New Roman"/>
          <w:b w:val="0"/>
          <w:bCs w:val="0"/>
          <w:kern w:val="0"/>
          <w:sz w:val="32"/>
          <w:szCs w:val="32"/>
          <w:lang w:eastAsia="zh-CN"/>
        </w:rPr>
        <w:t>突出</w:t>
      </w:r>
      <w:r>
        <w:rPr>
          <w:rFonts w:hint="default" w:ascii="Times New Roman" w:hAnsi="Times New Roman" w:eastAsia="仿宋_GB2312" w:cs="Times New Roman"/>
          <w:b w:val="0"/>
          <w:bCs w:val="0"/>
          <w:kern w:val="0"/>
          <w:sz w:val="32"/>
          <w:szCs w:val="32"/>
        </w:rPr>
        <w:t>活动共办，帮助邀请客商</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分享</w:t>
      </w:r>
      <w:r>
        <w:rPr>
          <w:rFonts w:hint="default" w:ascii="Times New Roman" w:hAnsi="Times New Roman" w:eastAsia="仿宋_GB2312" w:cs="Times New Roman"/>
          <w:b w:val="0"/>
          <w:bCs w:val="0"/>
          <w:kern w:val="0"/>
          <w:sz w:val="32"/>
          <w:szCs w:val="32"/>
          <w:lang w:eastAsia="zh-CN"/>
        </w:rPr>
        <w:t>项目</w:t>
      </w:r>
      <w:r>
        <w:rPr>
          <w:rFonts w:hint="default" w:ascii="Times New Roman" w:hAnsi="Times New Roman" w:eastAsia="仿宋_GB2312" w:cs="Times New Roman"/>
          <w:b w:val="0"/>
          <w:bCs w:val="0"/>
          <w:kern w:val="0"/>
          <w:sz w:val="32"/>
          <w:szCs w:val="32"/>
        </w:rPr>
        <w:t>信息，</w:t>
      </w:r>
      <w:r>
        <w:rPr>
          <w:rFonts w:hint="default" w:ascii="Times New Roman" w:hAnsi="Times New Roman" w:eastAsia="仿宋_GB2312" w:cs="Times New Roman"/>
          <w:b w:val="0"/>
          <w:bCs w:val="0"/>
          <w:kern w:val="0"/>
          <w:sz w:val="32"/>
          <w:szCs w:val="32"/>
          <w:lang w:eastAsia="zh-CN"/>
        </w:rPr>
        <w:t>上下协力</w:t>
      </w:r>
      <w:r>
        <w:rPr>
          <w:rFonts w:hint="default" w:ascii="Times New Roman" w:hAnsi="Times New Roman" w:eastAsia="仿宋_GB2312" w:cs="Times New Roman"/>
          <w:b w:val="0"/>
          <w:bCs w:val="0"/>
          <w:kern w:val="0"/>
          <w:sz w:val="32"/>
          <w:szCs w:val="32"/>
        </w:rPr>
        <w:t>共同推动项目</w:t>
      </w:r>
      <w:r>
        <w:rPr>
          <w:rFonts w:hint="default" w:ascii="Times New Roman" w:hAnsi="Times New Roman" w:eastAsia="仿宋_GB2312" w:cs="Times New Roman"/>
          <w:b w:val="0"/>
          <w:bCs w:val="0"/>
          <w:kern w:val="0"/>
          <w:sz w:val="32"/>
          <w:szCs w:val="32"/>
          <w:lang w:eastAsia="zh-CN"/>
        </w:rPr>
        <w:t>落地</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bCs/>
          <w:kern w:val="0"/>
          <w:sz w:val="32"/>
          <w:szCs w:val="32"/>
          <w:lang w:eastAsia="zh-CN"/>
        </w:rPr>
        <w:t>二是联动省级部门招商。</w:t>
      </w:r>
      <w:r>
        <w:rPr>
          <w:rFonts w:hint="default" w:ascii="Times New Roman" w:hAnsi="Times New Roman" w:eastAsia="仿宋_GB2312" w:cs="Times New Roman"/>
          <w:b w:val="0"/>
          <w:bCs w:val="0"/>
          <w:kern w:val="0"/>
          <w:sz w:val="32"/>
          <w:szCs w:val="32"/>
        </w:rPr>
        <w:t>与经信厅共同开展全省制造业招商引资“百日攻坚”专项行动，</w:t>
      </w:r>
      <w:r>
        <w:rPr>
          <w:rFonts w:hint="default" w:ascii="Times New Roman" w:hAnsi="Times New Roman" w:eastAsia="仿宋_GB2312" w:cs="Times New Roman"/>
          <w:b w:val="0"/>
          <w:bCs w:val="0"/>
          <w:kern w:val="0"/>
          <w:sz w:val="32"/>
          <w:szCs w:val="32"/>
          <w:lang w:eastAsia="zh-CN"/>
        </w:rPr>
        <w:t>各级经济合作部门高度重视、周密部署、强力攻坚，推动万华化学、宁德时代、</w:t>
      </w:r>
      <w:r>
        <w:rPr>
          <w:rFonts w:hint="default" w:ascii="Times New Roman" w:hAnsi="Times New Roman" w:eastAsia="仿宋_GB2312" w:cs="Times New Roman"/>
          <w:b w:val="0"/>
          <w:bCs w:val="0"/>
          <w:kern w:val="0"/>
          <w:sz w:val="32"/>
          <w:szCs w:val="32"/>
        </w:rPr>
        <w:t>浙江正凯、北京京运通等项目成功签约</w:t>
      </w:r>
      <w:r>
        <w:rPr>
          <w:rFonts w:hint="default" w:ascii="Times New Roman" w:hAnsi="Times New Roman" w:eastAsia="仿宋_GB2312" w:cs="Times New Roman"/>
          <w:b w:val="0"/>
          <w:bCs w:val="0"/>
          <w:kern w:val="0"/>
          <w:sz w:val="32"/>
          <w:szCs w:val="32"/>
          <w:lang w:eastAsia="zh-CN"/>
        </w:rPr>
        <w:t>，掀起了全省抓制造业招商引资的浓厚氛围</w:t>
      </w:r>
      <w:r>
        <w:rPr>
          <w:rFonts w:hint="default" w:ascii="Times New Roman" w:hAnsi="Times New Roman" w:eastAsia="仿宋_GB2312" w:cs="Times New Roman"/>
          <w:b w:val="0"/>
          <w:bCs w:val="0"/>
          <w:kern w:val="0"/>
          <w:sz w:val="32"/>
          <w:szCs w:val="32"/>
        </w:rPr>
        <w:t>。与生态环境厅举办节能环保产业和环保基础设施专题招商，共整理包装推出项目100余个、总投资额超千亿，向金融机构推送融资项目300余个、融资需求超千亿。</w:t>
      </w:r>
      <w:r>
        <w:rPr>
          <w:rFonts w:hint="default" w:ascii="Times New Roman" w:hAnsi="Times New Roman" w:eastAsia="仿宋_GB2312" w:cs="Times New Roman"/>
          <w:b/>
          <w:bCs/>
          <w:kern w:val="0"/>
          <w:sz w:val="32"/>
          <w:szCs w:val="32"/>
          <w:lang w:eastAsia="zh-CN"/>
        </w:rPr>
        <w:t>三是联动驻外机构招商。</w:t>
      </w:r>
      <w:r>
        <w:rPr>
          <w:rFonts w:hint="default" w:ascii="Times New Roman" w:hAnsi="Times New Roman" w:eastAsia="仿宋_GB2312" w:cs="Times New Roman"/>
          <w:b w:val="0"/>
          <w:bCs w:val="0"/>
          <w:kern w:val="0"/>
          <w:sz w:val="32"/>
          <w:szCs w:val="32"/>
          <w:lang w:eastAsia="zh-CN"/>
        </w:rPr>
        <w:t>强化省政府驻外办事处投资促进主责意识，发挥前端支撑和桥梁纽带作用，加大服务“走出去”招商力度</w:t>
      </w:r>
      <w:r>
        <w:rPr>
          <w:rFonts w:hint="default" w:ascii="Times New Roman" w:hAnsi="Times New Roman" w:eastAsia="仿宋_GB2312" w:cs="Times New Roman"/>
          <w:b w:val="0"/>
          <w:bCs w:val="0"/>
          <w:kern w:val="0"/>
          <w:sz w:val="32"/>
          <w:szCs w:val="32"/>
        </w:rPr>
        <w:t>。局机关专门组建珠三角、长三角两个招商小分队，与驻地办事处共同开展为期一个月的</w:t>
      </w:r>
      <w:r>
        <w:rPr>
          <w:rFonts w:hint="default" w:ascii="Times New Roman" w:hAnsi="Times New Roman" w:eastAsia="仿宋_GB2312" w:cs="Times New Roman"/>
          <w:b w:val="0"/>
          <w:bCs w:val="0"/>
          <w:kern w:val="0"/>
          <w:sz w:val="32"/>
          <w:szCs w:val="32"/>
          <w:lang w:eastAsia="zh-CN"/>
        </w:rPr>
        <w:t>驻点</w:t>
      </w:r>
      <w:r>
        <w:rPr>
          <w:rFonts w:hint="default" w:ascii="Times New Roman" w:hAnsi="Times New Roman" w:eastAsia="仿宋_GB2312" w:cs="Times New Roman"/>
          <w:b w:val="0"/>
          <w:bCs w:val="0"/>
          <w:kern w:val="0"/>
          <w:sz w:val="32"/>
          <w:szCs w:val="32"/>
        </w:rPr>
        <w:t>招商，</w:t>
      </w:r>
      <w:r>
        <w:rPr>
          <w:rFonts w:hint="default" w:ascii="Times New Roman" w:hAnsi="Times New Roman" w:eastAsia="仿宋_GB2312" w:cs="Times New Roman"/>
          <w:b w:val="0"/>
          <w:bCs w:val="0"/>
          <w:kern w:val="0"/>
          <w:sz w:val="32"/>
          <w:szCs w:val="32"/>
          <w:lang w:eastAsia="zh-CN"/>
        </w:rPr>
        <w:t>累计走访</w:t>
      </w:r>
      <w:r>
        <w:rPr>
          <w:rFonts w:hint="default" w:ascii="Times New Roman" w:hAnsi="Times New Roman" w:eastAsia="仿宋_GB2312" w:cs="Times New Roman"/>
          <w:b w:val="0"/>
          <w:bCs w:val="0"/>
          <w:kern w:val="0"/>
          <w:sz w:val="32"/>
          <w:szCs w:val="32"/>
        </w:rPr>
        <w:t>考察企业</w:t>
      </w:r>
      <w:r>
        <w:rPr>
          <w:rFonts w:hint="default" w:ascii="Times New Roman" w:hAnsi="Times New Roman" w:eastAsia="仿宋_GB2312" w:cs="Times New Roman"/>
          <w:b w:val="0"/>
          <w:bCs w:val="0"/>
          <w:kern w:val="0"/>
          <w:sz w:val="32"/>
          <w:szCs w:val="32"/>
          <w:lang w:eastAsia="zh-CN"/>
        </w:rPr>
        <w:t>（机构）</w:t>
      </w:r>
      <w:r>
        <w:rPr>
          <w:rFonts w:hint="default" w:ascii="Times New Roman" w:hAnsi="Times New Roman" w:eastAsia="仿宋_GB2312" w:cs="Times New Roman"/>
          <w:b w:val="0"/>
          <w:bCs w:val="0"/>
          <w:kern w:val="0"/>
          <w:sz w:val="32"/>
          <w:szCs w:val="32"/>
          <w:lang w:val="en-US" w:eastAsia="zh-CN"/>
        </w:rPr>
        <w:t>120余</w:t>
      </w:r>
      <w:r>
        <w:rPr>
          <w:rFonts w:hint="default" w:ascii="Times New Roman" w:hAnsi="Times New Roman" w:eastAsia="仿宋_GB2312" w:cs="Times New Roman"/>
          <w:b w:val="0"/>
          <w:bCs w:val="0"/>
          <w:kern w:val="0"/>
          <w:sz w:val="32"/>
          <w:szCs w:val="32"/>
        </w:rPr>
        <w:t>家，</w:t>
      </w:r>
      <w:r>
        <w:rPr>
          <w:rFonts w:hint="default" w:ascii="Times New Roman" w:hAnsi="Times New Roman" w:eastAsia="仿宋_GB2312" w:cs="Times New Roman"/>
          <w:b w:val="0"/>
          <w:bCs w:val="0"/>
          <w:kern w:val="0"/>
          <w:sz w:val="32"/>
          <w:szCs w:val="32"/>
          <w:lang w:eastAsia="zh-CN"/>
        </w:rPr>
        <w:t>获取意向投资信息</w:t>
      </w:r>
      <w:r>
        <w:rPr>
          <w:rFonts w:hint="default" w:ascii="Times New Roman" w:hAnsi="Times New Roman" w:eastAsia="仿宋_GB2312" w:cs="Times New Roman"/>
          <w:b w:val="0"/>
          <w:bCs w:val="0"/>
          <w:kern w:val="0"/>
          <w:sz w:val="32"/>
          <w:szCs w:val="32"/>
          <w:lang w:val="en-US" w:eastAsia="zh-CN"/>
        </w:rPr>
        <w:t>90余条。</w:t>
      </w:r>
      <w:r>
        <w:rPr>
          <w:rFonts w:hint="default" w:ascii="Times New Roman" w:hAnsi="Times New Roman" w:eastAsia="仿宋_GB2312" w:cs="Times New Roman"/>
          <w:b w:val="0"/>
          <w:bCs w:val="0"/>
          <w:kern w:val="0"/>
          <w:sz w:val="32"/>
          <w:szCs w:val="32"/>
        </w:rPr>
        <w:t>举办四川新材料产业长三角推介会、四川—苏州智能制造上市公司合作座谈会等活动，</w:t>
      </w:r>
      <w:r>
        <w:rPr>
          <w:rFonts w:hint="default" w:ascii="Times New Roman" w:hAnsi="Times New Roman" w:eastAsia="仿宋_GB2312" w:cs="Times New Roman"/>
          <w:b w:val="0"/>
          <w:bCs w:val="0"/>
          <w:kern w:val="0"/>
          <w:sz w:val="32"/>
          <w:szCs w:val="32"/>
          <w:lang w:eastAsia="zh-CN"/>
        </w:rPr>
        <w:t>推动</w:t>
      </w:r>
      <w:r>
        <w:rPr>
          <w:rFonts w:hint="default" w:ascii="Times New Roman" w:hAnsi="Times New Roman" w:eastAsia="仿宋_GB2312" w:cs="Times New Roman"/>
          <w:b w:val="0"/>
          <w:bCs w:val="0"/>
          <w:kern w:val="0"/>
          <w:sz w:val="32"/>
          <w:szCs w:val="32"/>
        </w:rPr>
        <w:t>一批意向合作</w:t>
      </w:r>
      <w:r>
        <w:rPr>
          <w:rFonts w:hint="default" w:ascii="Times New Roman" w:hAnsi="Times New Roman" w:eastAsia="仿宋_GB2312" w:cs="Times New Roman"/>
          <w:b w:val="0"/>
          <w:bCs w:val="0"/>
          <w:kern w:val="0"/>
          <w:sz w:val="32"/>
          <w:szCs w:val="32"/>
          <w:lang w:eastAsia="zh-CN"/>
        </w:rPr>
        <w:t>走深走实</w:t>
      </w:r>
      <w:r>
        <w:rPr>
          <w:rFonts w:hint="default" w:ascii="Times New Roman" w:hAnsi="Times New Roman" w:eastAsia="仿宋_GB2312" w:cs="Times New Roman"/>
          <w:b w:val="0"/>
          <w:bCs w:val="0"/>
          <w:kern w:val="0"/>
          <w:sz w:val="32"/>
          <w:szCs w:val="32"/>
        </w:rPr>
        <w:t>。</w:t>
      </w:r>
    </w:p>
    <w:p>
      <w:pPr>
        <w:rPr>
          <w:rFonts w:hint="eastAsia" w:eastAsia="宋体"/>
          <w:lang w:eastAsia="zh-CN"/>
        </w:rPr>
      </w:pPr>
      <w:r>
        <w:rPr>
          <w:rFonts w:hint="eastAsia"/>
          <w:lang w:val="en-US" w:eastAsia="zh-CN"/>
        </w:rPr>
        <w:t xml:space="preserve">     </w:t>
      </w:r>
      <w:r>
        <w:rPr>
          <w:rStyle w:val="33"/>
          <w:rFonts w:hint="eastAsia"/>
          <w:lang w:val="en-US" w:eastAsia="zh-CN" w:bidi="ar-SA"/>
        </w:rPr>
        <w:t>三、机构设置情况</w:t>
      </w:r>
    </w:p>
    <w:p>
      <w:pPr>
        <w:widowControl/>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 xml:space="preserve">   四川省经济合作促进中心由五个处室组成，分别是：电子信息和数字经济投资促进处、装备制造产业投资促进处、食品饮料和服务业投资促进处、能源化工和新材料产业投资促进处、博览发展服务处。</w:t>
      </w:r>
    </w:p>
    <w:p>
      <w:pPr>
        <w:pStyle w:val="8"/>
        <w:numPr>
          <w:numId w:val="0"/>
        </w:numPr>
        <w:jc w:val="both"/>
        <w:rPr>
          <w:rFonts w:hint="eastAsia"/>
          <w:lang w:eastAsia="zh-CN"/>
        </w:rPr>
      </w:pPr>
    </w:p>
    <w:p>
      <w:pPr>
        <w:rPr>
          <w:rFonts w:hint="default" w:ascii="Times New Roman" w:hAnsi="Times New Roman" w:cs="Times New Roman"/>
        </w:rPr>
      </w:pPr>
    </w:p>
    <w:p>
      <w:pPr>
        <w:widowControl/>
        <w:jc w:val="left"/>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rPr>
        <w:br w:type="page"/>
      </w:r>
    </w:p>
    <w:p>
      <w:pPr>
        <w:pStyle w:val="4"/>
        <w:ind w:right="440"/>
        <w:jc w:val="center"/>
        <w:rPr>
          <w:rStyle w:val="27"/>
          <w:rFonts w:hint="default" w:ascii="Times New Roman" w:hAnsi="Times New Roman" w:eastAsia="黑体" w:cs="Times New Roman"/>
          <w:b w:val="0"/>
          <w:bCs/>
          <w:color w:val="auto"/>
          <w:highlight w:val="none"/>
        </w:rPr>
      </w:pPr>
      <w:bookmarkStart w:id="16" w:name="_Toc15377204"/>
      <w:bookmarkStart w:id="17" w:name="_Toc15396602"/>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2021年度</w:t>
      </w:r>
      <w:r>
        <w:rPr>
          <w:rStyle w:val="27"/>
          <w:rFonts w:hint="default" w:ascii="Times New Roman" w:hAnsi="Times New Roman" w:eastAsia="黑体" w:cs="Times New Roman"/>
          <w:b w:val="0"/>
          <w:bCs/>
          <w:color w:val="auto"/>
          <w:highlight w:val="none"/>
          <w:lang w:eastAsia="zh-CN"/>
        </w:rPr>
        <w:t>单位</w:t>
      </w:r>
      <w:r>
        <w:rPr>
          <w:rStyle w:val="27"/>
          <w:rFonts w:hint="default" w:ascii="Times New Roman" w:hAnsi="Times New Roman" w:eastAsia="黑体" w:cs="Times New Roman"/>
          <w:b w:val="0"/>
          <w:bCs/>
          <w:color w:val="auto"/>
          <w:highlight w:val="none"/>
        </w:rPr>
        <w:t>决算情况说明</w:t>
      </w:r>
      <w:bookmarkEnd w:id="16"/>
      <w:bookmarkEnd w:id="17"/>
    </w:p>
    <w:p>
      <w:pPr>
        <w:rPr>
          <w:rFonts w:hint="default" w:ascii="Times New Roman" w:hAnsi="Times New Roman" w:cs="Times New Roman"/>
          <w:color w:val="auto"/>
          <w:highlight w:val="none"/>
        </w:rPr>
      </w:pPr>
    </w:p>
    <w:p>
      <w:pPr>
        <w:pStyle w:val="26"/>
        <w:numPr>
          <w:ilvl w:val="0"/>
          <w:numId w:val="1"/>
        </w:numPr>
        <w:spacing w:line="600" w:lineRule="exact"/>
        <w:ind w:firstLineChars="0"/>
        <w:outlineLvl w:val="1"/>
        <w:rPr>
          <w:rStyle w:val="28"/>
          <w:rFonts w:hint="default" w:ascii="Times New Roman" w:hAnsi="Times New Roman" w:eastAsia="黑体" w:cs="Times New Roman"/>
          <w:b w:val="0"/>
          <w:color w:val="auto"/>
          <w:highlight w:val="none"/>
        </w:rPr>
      </w:pPr>
      <w:bookmarkStart w:id="18" w:name="_Toc15396603"/>
      <w:bookmarkStart w:id="19" w:name="_Toc15377205"/>
      <w:r>
        <w:rPr>
          <w:rFonts w:hint="default" w:ascii="Times New Roman" w:hAnsi="Times New Roman" w:eastAsia="黑体" w:cs="Times New Roman"/>
          <w:color w:val="auto"/>
          <w:sz w:val="32"/>
          <w:szCs w:val="32"/>
          <w:highlight w:val="none"/>
        </w:rPr>
        <w:t>收</w:t>
      </w:r>
      <w:r>
        <w:rPr>
          <w:rStyle w:val="28"/>
          <w:rFonts w:hint="default" w:ascii="Times New Roman" w:hAnsi="Times New Roman" w:eastAsia="黑体" w:cs="Times New Roman"/>
          <w:b w:val="0"/>
          <w:color w:val="auto"/>
          <w:highlight w:val="none"/>
        </w:rPr>
        <w:t>入支出决算总体情况说明</w:t>
      </w:r>
      <w:bookmarkEnd w:id="18"/>
      <w:bookmarkEnd w:id="19"/>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年度收、支总计</w:t>
      </w:r>
      <w:r>
        <w:rPr>
          <w:rFonts w:hint="default" w:ascii="Times New Roman" w:hAnsi="Times New Roman" w:eastAsia="仿宋_GB2312" w:cs="Times New Roman"/>
          <w:color w:val="auto"/>
          <w:sz w:val="32"/>
          <w:szCs w:val="32"/>
          <w:lang w:val="en-US" w:eastAsia="zh-CN"/>
        </w:rPr>
        <w:t>1286.96</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年相比，收、支总计各增加</w:t>
      </w:r>
      <w:r>
        <w:rPr>
          <w:rFonts w:hint="default" w:ascii="Times New Roman" w:hAnsi="Times New Roman" w:eastAsia="仿宋_GB2312" w:cs="Times New Roman"/>
          <w:color w:val="auto"/>
          <w:sz w:val="32"/>
          <w:szCs w:val="32"/>
          <w:lang w:val="en-US" w:eastAsia="zh-CN"/>
        </w:rPr>
        <w:t>385.81</w:t>
      </w:r>
      <w:r>
        <w:rPr>
          <w:rFonts w:hint="default" w:ascii="Times New Roman" w:hAnsi="Times New Roman" w:eastAsia="仿宋" w:cs="Times New Roman"/>
          <w:color w:val="auto"/>
          <w:sz w:val="32"/>
          <w:szCs w:val="32"/>
          <w:highlight w:val="none"/>
        </w:rPr>
        <w:t>万元，增长</w:t>
      </w:r>
      <w:r>
        <w:rPr>
          <w:rFonts w:hint="default" w:ascii="Times New Roman" w:hAnsi="Times New Roman" w:eastAsia="仿宋_GB2312" w:cs="Times New Roman"/>
          <w:color w:val="auto"/>
          <w:sz w:val="32"/>
          <w:szCs w:val="32"/>
          <w:lang w:val="en-US" w:eastAsia="zh-CN"/>
        </w:rPr>
        <w:t>43</w:t>
      </w:r>
      <w:r>
        <w:rPr>
          <w:rFonts w:hint="default" w:ascii="Times New Roman" w:hAnsi="Times New Roman" w:eastAsia="仿宋" w:cs="Times New Roman"/>
          <w:color w:val="auto"/>
          <w:sz w:val="32"/>
          <w:szCs w:val="32"/>
          <w:highlight w:val="none"/>
        </w:rPr>
        <w:t>%。主要变动原因</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一是当年预算追加无房户一次性补贴及2020年绩效考评奖156.79万元；二是招商引资业务费收支预算较2020年大幅增加。</w:t>
      </w:r>
    </w:p>
    <w:p>
      <w:pPr>
        <w:pStyle w:val="8"/>
        <w:rPr>
          <w:rFonts w:hint="default" w:ascii="Times New Roman" w:hAnsi="Times New Roman" w:eastAsia="仿宋_GB2312" w:cs="Times New Roman"/>
          <w:color w:val="auto"/>
          <w:sz w:val="32"/>
          <w:szCs w:val="32"/>
          <w:lang w:val="en-US" w:eastAsia="zh-CN"/>
        </w:rPr>
      </w:pPr>
    </w:p>
    <w:p>
      <w:pPr>
        <w:rPr>
          <w:rFonts w:hint="default" w:ascii="Times New Roman" w:hAnsi="Times New Roman" w:cs="Times New Roman"/>
        </w:rPr>
      </w:pPr>
      <w:r>
        <w:rPr>
          <w:rFonts w:hint="default" w:ascii="Times New Roman" w:hAnsi="Times New Roman" w:eastAsia="仿宋_GB2312" w:cs="Times New Roman"/>
          <w:color w:val="auto"/>
          <w:sz w:val="32"/>
          <w:szCs w:val="32"/>
          <w:lang w:val="en-US" w:eastAsia="zh-CN"/>
        </w:rPr>
        <w:drawing>
          <wp:inline distT="0" distB="0" distL="114300" distR="114300">
            <wp:extent cx="5574030" cy="3569970"/>
            <wp:effectExtent l="4445" t="4445" r="9525" b="69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6"/>
        <w:numPr>
          <w:ilvl w:val="0"/>
          <w:numId w:val="1"/>
        </w:numPr>
        <w:spacing w:line="600" w:lineRule="exact"/>
        <w:ind w:firstLineChars="0"/>
        <w:outlineLvl w:val="1"/>
        <w:rPr>
          <w:rStyle w:val="28"/>
          <w:rFonts w:hint="default" w:ascii="Times New Roman" w:hAnsi="Times New Roman" w:eastAsia="黑体" w:cs="Times New Roman"/>
          <w:b w:val="0"/>
          <w:color w:val="auto"/>
          <w:highlight w:val="none"/>
        </w:rPr>
      </w:pPr>
      <w:bookmarkStart w:id="20" w:name="_Toc15396604"/>
      <w:bookmarkStart w:id="21" w:name="_Toc15377206"/>
      <w:r>
        <w:rPr>
          <w:rFonts w:hint="default" w:ascii="Times New Roman" w:hAnsi="Times New Roman" w:eastAsia="黑体" w:cs="Times New Roman"/>
          <w:color w:val="auto"/>
          <w:sz w:val="32"/>
          <w:szCs w:val="32"/>
          <w:highlight w:val="none"/>
        </w:rPr>
        <w:t>收</w:t>
      </w:r>
      <w:r>
        <w:rPr>
          <w:rStyle w:val="28"/>
          <w:rFonts w:hint="default" w:ascii="Times New Roman" w:hAnsi="Times New Roman" w:eastAsia="黑体" w:cs="Times New Roman"/>
          <w:b w:val="0"/>
          <w:color w:val="auto"/>
          <w:highlight w:val="none"/>
        </w:rPr>
        <w:t>入决算情况说明</w:t>
      </w:r>
      <w:bookmarkEnd w:id="20"/>
      <w:bookmarkEnd w:id="21"/>
    </w:p>
    <w:p>
      <w:pPr>
        <w:spacing w:line="600" w:lineRule="exact"/>
        <w:ind w:firstLine="640" w:firstLineChars="200"/>
        <w:outlineLvl w:val="1"/>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年本年收入合计</w:t>
      </w:r>
      <w:r>
        <w:rPr>
          <w:rFonts w:hint="default" w:ascii="Times New Roman" w:hAnsi="Times New Roman" w:eastAsia="仿宋_GB2312" w:cs="Times New Roman"/>
          <w:color w:val="auto"/>
          <w:sz w:val="32"/>
          <w:szCs w:val="32"/>
          <w:lang w:val="en-US" w:eastAsia="zh-CN"/>
        </w:rPr>
        <w:t>1286.96</w:t>
      </w:r>
      <w:r>
        <w:rPr>
          <w:rFonts w:hint="default" w:ascii="Times New Roman" w:hAnsi="Times New Roman" w:eastAsia="仿宋" w:cs="Times New Roman"/>
          <w:color w:val="auto"/>
          <w:sz w:val="32"/>
          <w:szCs w:val="32"/>
          <w:highlight w:val="none"/>
        </w:rPr>
        <w:t>万元，其中：一般公共预算财政拨款收入</w:t>
      </w:r>
      <w:r>
        <w:rPr>
          <w:rFonts w:hint="default" w:ascii="Times New Roman" w:hAnsi="Times New Roman" w:eastAsia="仿宋_GB2312" w:cs="Times New Roman"/>
          <w:color w:val="auto"/>
          <w:sz w:val="32"/>
          <w:szCs w:val="32"/>
          <w:lang w:val="en-US" w:eastAsia="zh-CN"/>
        </w:rPr>
        <w:t>1286.96</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p>
    <w:p>
      <w:pPr>
        <w:rPr>
          <w:rFonts w:hint="default" w:ascii="Times New Roman" w:hAnsi="Times New Roman" w:eastAsia="仿宋" w:cs="Times New Roman"/>
          <w:lang w:eastAsia="zh-CN"/>
        </w:rPr>
      </w:pPr>
    </w:p>
    <w:p>
      <w:pPr>
        <w:pStyle w:val="7"/>
        <w:rPr>
          <w:rFonts w:hint="default"/>
        </w:rPr>
      </w:pPr>
      <w:r>
        <w:rPr>
          <w:rFonts w:hint="default" w:ascii="Times New Roman" w:hAnsi="Times New Roman" w:eastAsia="仿宋" w:cs="Times New Roman"/>
          <w:lang w:eastAsia="zh-CN"/>
        </w:rPr>
        <w:drawing>
          <wp:inline distT="0" distB="0" distL="114300" distR="114300">
            <wp:extent cx="5080000" cy="3276600"/>
            <wp:effectExtent l="4445" t="4445" r="8255" b="82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6"/>
        <w:numPr>
          <w:ilvl w:val="0"/>
          <w:numId w:val="1"/>
        </w:numPr>
        <w:spacing w:line="600" w:lineRule="exact"/>
        <w:ind w:firstLineChars="0"/>
        <w:outlineLvl w:val="1"/>
        <w:rPr>
          <w:rStyle w:val="28"/>
          <w:rFonts w:hint="default" w:ascii="Times New Roman" w:hAnsi="Times New Roman" w:eastAsia="黑体" w:cs="Times New Roman"/>
          <w:b w:val="0"/>
          <w:color w:val="auto"/>
          <w:highlight w:val="none"/>
        </w:rPr>
      </w:pPr>
      <w:bookmarkStart w:id="22" w:name="_Toc15377207"/>
      <w:bookmarkStart w:id="23" w:name="_Toc15396605"/>
      <w:r>
        <w:rPr>
          <w:rFonts w:hint="default" w:ascii="Times New Roman" w:hAnsi="Times New Roman" w:eastAsia="黑体" w:cs="Times New Roman"/>
          <w:color w:val="auto"/>
          <w:sz w:val="32"/>
          <w:szCs w:val="32"/>
          <w:highlight w:val="none"/>
        </w:rPr>
        <w:t>支</w:t>
      </w:r>
      <w:r>
        <w:rPr>
          <w:rStyle w:val="28"/>
          <w:rFonts w:hint="default" w:ascii="Times New Roman" w:hAnsi="Times New Roman" w:eastAsia="黑体" w:cs="Times New Roman"/>
          <w:b w:val="0"/>
          <w:color w:val="auto"/>
          <w:highlight w:val="none"/>
        </w:rPr>
        <w:t>出决算情况说明</w:t>
      </w:r>
      <w:bookmarkEnd w:id="22"/>
      <w:bookmarkEnd w:id="23"/>
    </w:p>
    <w:p>
      <w:pPr>
        <w:spacing w:line="600" w:lineRule="exact"/>
        <w:ind w:firstLine="640" w:firstLineChars="200"/>
        <w:outlineLvl w:val="1"/>
        <w:rPr>
          <w:rFonts w:hint="default" w:ascii="Times New Roman" w:hAnsi="Times New Roman" w:eastAsia="仿宋" w:cs="Times New Roman"/>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年本年支出合计</w:t>
      </w:r>
      <w:r>
        <w:rPr>
          <w:rFonts w:hint="default" w:ascii="Times New Roman" w:hAnsi="Times New Roman" w:eastAsia="仿宋_GB2312" w:cs="Times New Roman"/>
          <w:color w:val="auto"/>
          <w:sz w:val="32"/>
          <w:szCs w:val="32"/>
          <w:lang w:val="en-US" w:eastAsia="zh-CN"/>
        </w:rPr>
        <w:t>1286.96</w:t>
      </w:r>
      <w:r>
        <w:rPr>
          <w:rFonts w:hint="default" w:ascii="Times New Roman" w:hAnsi="Times New Roman" w:eastAsia="仿宋" w:cs="Times New Roman"/>
          <w:color w:val="auto"/>
          <w:sz w:val="32"/>
          <w:szCs w:val="32"/>
          <w:highlight w:val="none"/>
        </w:rPr>
        <w:t>万元，其中：基本支出</w:t>
      </w:r>
      <w:r>
        <w:rPr>
          <w:rFonts w:hint="default" w:ascii="Times New Roman" w:hAnsi="Times New Roman" w:eastAsia="仿宋_GB2312" w:cs="Times New Roman"/>
          <w:sz w:val="32"/>
          <w:szCs w:val="32"/>
          <w:lang w:val="en-US" w:eastAsia="zh-CN"/>
        </w:rPr>
        <w:t>952.19</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_GB2312" w:cs="Times New Roman"/>
          <w:sz w:val="32"/>
          <w:szCs w:val="32"/>
          <w:lang w:val="en-US" w:eastAsia="zh-CN"/>
        </w:rPr>
        <w:t>73.99</w:t>
      </w:r>
      <w:r>
        <w:rPr>
          <w:rFonts w:hint="default" w:ascii="Times New Roman" w:hAnsi="Times New Roman" w:eastAsia="仿宋" w:cs="Times New Roman"/>
          <w:color w:val="auto"/>
          <w:sz w:val="32"/>
          <w:szCs w:val="32"/>
          <w:highlight w:val="none"/>
        </w:rPr>
        <w:t>%；项目支出</w:t>
      </w:r>
      <w:r>
        <w:rPr>
          <w:rFonts w:hint="default" w:ascii="Times New Roman" w:hAnsi="Times New Roman" w:eastAsia="仿宋_GB2312" w:cs="Times New Roman"/>
          <w:sz w:val="32"/>
          <w:szCs w:val="32"/>
          <w:lang w:val="en-US" w:eastAsia="zh-CN"/>
        </w:rPr>
        <w:t>334.77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26.01</w:t>
      </w:r>
      <w:r>
        <w:rPr>
          <w:rFonts w:hint="default" w:ascii="Times New Roman" w:hAnsi="Times New Roman" w:eastAsia="仿宋" w:cs="Times New Roman"/>
          <w:color w:val="auto"/>
          <w:sz w:val="32"/>
          <w:szCs w:val="32"/>
          <w:highlight w:val="none"/>
        </w:rPr>
        <w:t>%。</w:t>
      </w:r>
    </w:p>
    <w:p>
      <w:pPr>
        <w:pStyle w:val="8"/>
        <w:rPr>
          <w:rFonts w:hint="default" w:ascii="Times New Roman" w:hAnsi="Times New Roman" w:eastAsia="仿宋" w:cs="Times New Roman"/>
          <w:lang w:eastAsia="zh-CN"/>
        </w:rPr>
      </w:pPr>
    </w:p>
    <w:p>
      <w:pPr>
        <w:rPr>
          <w:rFonts w:hint="default" w:ascii="Times New Roman" w:hAnsi="Times New Roman" w:eastAsia="仿宋" w:cs="Times New Roman"/>
          <w:lang w:eastAsia="zh-CN"/>
        </w:rPr>
      </w:pPr>
      <w:r>
        <w:rPr>
          <w:rFonts w:hint="default" w:ascii="Times New Roman" w:hAnsi="Times New Roman" w:eastAsia="仿宋" w:cs="Times New Roman"/>
          <w:lang w:eastAsia="zh-CN"/>
        </w:rPr>
        <w:drawing>
          <wp:inline distT="0" distB="0" distL="114300" distR="114300">
            <wp:extent cx="5080000" cy="3180715"/>
            <wp:effectExtent l="4445" t="4445" r="8255" b="152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8"/>
          <w:rFonts w:hint="default" w:ascii="Times New Roman" w:hAnsi="Times New Roman" w:eastAsia="黑体" w:cs="Times New Roman"/>
          <w:b w:val="0"/>
          <w:color w:val="auto"/>
          <w:highlight w:val="none"/>
        </w:rPr>
      </w:pPr>
      <w:bookmarkStart w:id="24" w:name="_Toc15377208"/>
      <w:bookmarkStart w:id="25" w:name="_Toc15396606"/>
      <w:r>
        <w:rPr>
          <w:rFonts w:hint="default" w:ascii="Times New Roman" w:hAnsi="Times New Roman" w:eastAsia="黑体" w:cs="Times New Roman"/>
          <w:color w:val="auto"/>
          <w:sz w:val="32"/>
          <w:szCs w:val="32"/>
          <w:highlight w:val="none"/>
        </w:rPr>
        <w:t>四、财</w:t>
      </w:r>
      <w:r>
        <w:rPr>
          <w:rStyle w:val="28"/>
          <w:rFonts w:hint="default" w:ascii="Times New Roman" w:hAnsi="Times New Roman" w:eastAsia="黑体" w:cs="Times New Roman"/>
          <w:b w:val="0"/>
          <w:color w:val="auto"/>
          <w:highlight w:val="none"/>
        </w:rPr>
        <w:t>政拨款收入支出决算总体情况说明</w:t>
      </w:r>
      <w:bookmarkEnd w:id="24"/>
      <w:bookmarkEnd w:id="25"/>
    </w:p>
    <w:p>
      <w:pPr>
        <w:spacing w:line="600" w:lineRule="exact"/>
        <w:ind w:firstLine="640" w:firstLineChars="200"/>
        <w:rPr>
          <w:rFonts w:hint="default" w:ascii="Times New Roman" w:hAnsi="Times New Roman" w:eastAsia="仿宋" w:cs="Times New Roman"/>
          <w:b/>
          <w:color w:val="auto"/>
          <w:sz w:val="32"/>
          <w:szCs w:val="32"/>
          <w:highlight w:val="none"/>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年财政拨款收、支总计</w:t>
      </w:r>
      <w:r>
        <w:rPr>
          <w:rFonts w:hint="default" w:ascii="Times New Roman" w:hAnsi="Times New Roman" w:eastAsia="仿宋" w:cs="Times New Roman"/>
          <w:color w:val="auto"/>
          <w:sz w:val="32"/>
          <w:szCs w:val="32"/>
          <w:highlight w:val="none"/>
          <w:lang w:val="en-US" w:eastAsia="zh-CN"/>
        </w:rPr>
        <w:t>1286.96</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年相比，财政拨款收、支总计各增加</w:t>
      </w:r>
      <w:r>
        <w:rPr>
          <w:rFonts w:hint="default" w:ascii="Times New Roman" w:hAnsi="Times New Roman" w:eastAsia="仿宋_GB2312" w:cs="Times New Roman"/>
          <w:color w:val="auto"/>
          <w:sz w:val="32"/>
          <w:szCs w:val="32"/>
          <w:lang w:val="en-US" w:eastAsia="zh-CN"/>
        </w:rPr>
        <w:t>385.81</w:t>
      </w:r>
      <w:r>
        <w:rPr>
          <w:rFonts w:hint="default" w:ascii="Times New Roman" w:hAnsi="Times New Roman" w:eastAsia="仿宋" w:cs="Times New Roman"/>
          <w:color w:val="auto"/>
          <w:sz w:val="32"/>
          <w:szCs w:val="32"/>
          <w:highlight w:val="none"/>
        </w:rPr>
        <w:t>万元，增长</w:t>
      </w:r>
      <w:r>
        <w:rPr>
          <w:rFonts w:hint="default" w:ascii="Times New Roman" w:hAnsi="Times New Roman" w:eastAsia="仿宋" w:cs="Times New Roman"/>
          <w:color w:val="auto"/>
          <w:sz w:val="32"/>
          <w:szCs w:val="32"/>
          <w:highlight w:val="none"/>
          <w:lang w:val="en-US" w:eastAsia="zh-CN"/>
        </w:rPr>
        <w:t>43</w:t>
      </w:r>
      <w:r>
        <w:rPr>
          <w:rFonts w:hint="default" w:ascii="Times New Roman" w:hAnsi="Times New Roman" w:eastAsia="仿宋" w:cs="Times New Roman"/>
          <w:color w:val="auto"/>
          <w:sz w:val="32"/>
          <w:szCs w:val="32"/>
          <w:highlight w:val="none"/>
        </w:rPr>
        <w:t>%。主要变动原因</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lang w:val="en-US" w:eastAsia="zh-CN"/>
        </w:rPr>
        <w:t>一是当年预算追加无房户一次性补贴及2020年绩效考评奖156.79万元；二是招商引资业务费收支预算较2020年大幅增加</w:t>
      </w:r>
      <w:r>
        <w:rPr>
          <w:rFonts w:hint="default" w:ascii="Times New Roman" w:hAnsi="Times New Roman" w:eastAsia="仿宋" w:cs="Times New Roman"/>
          <w:b/>
          <w:color w:val="auto"/>
          <w:sz w:val="32"/>
          <w:szCs w:val="32"/>
          <w:highlight w:val="none"/>
          <w:lang w:eastAsia="zh-CN"/>
        </w:rPr>
        <w:t>。</w:t>
      </w:r>
    </w:p>
    <w:p>
      <w:pPr>
        <w:pStyle w:val="7"/>
        <w:rPr>
          <w:rFonts w:hint="default" w:ascii="Times New Roman" w:hAnsi="Times New Roman" w:eastAsia="仿宋" w:cs="Times New Roman"/>
          <w:b/>
          <w:color w:val="auto"/>
          <w:sz w:val="32"/>
          <w:szCs w:val="32"/>
          <w:highlight w:val="none"/>
        </w:rPr>
      </w:pPr>
      <w:r>
        <w:rPr>
          <w:rFonts w:hint="default" w:ascii="Times New Roman" w:hAnsi="Times New Roman" w:eastAsia="仿宋_GB2312" w:cs="Times New Roman"/>
          <w:color w:val="auto"/>
          <w:sz w:val="32"/>
          <w:szCs w:val="32"/>
          <w:lang w:val="en-US" w:eastAsia="zh-CN"/>
        </w:rPr>
        <w:drawing>
          <wp:inline distT="0" distB="0" distL="114300" distR="114300">
            <wp:extent cx="5574030" cy="3248025"/>
            <wp:effectExtent l="4445" t="4445" r="9525" b="114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hint="default" w:ascii="Times New Roman" w:hAnsi="Times New Roman" w:cs="Times New Roman"/>
        </w:rPr>
      </w:pPr>
    </w:p>
    <w:p>
      <w:pPr>
        <w:spacing w:line="600" w:lineRule="exact"/>
        <w:ind w:firstLine="640" w:firstLineChars="200"/>
        <w:outlineLvl w:val="1"/>
        <w:rPr>
          <w:rStyle w:val="28"/>
          <w:rFonts w:hint="default" w:ascii="Times New Roman" w:hAnsi="Times New Roman" w:eastAsia="黑体" w:cs="Times New Roman"/>
          <w:b w:val="0"/>
          <w:color w:val="auto"/>
          <w:highlight w:val="none"/>
        </w:rPr>
      </w:pPr>
      <w:bookmarkStart w:id="26" w:name="_Toc15377209"/>
      <w:bookmarkStart w:id="27" w:name="_Toc15396607"/>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8"/>
          <w:rFonts w:hint="default" w:ascii="Times New Roman" w:hAnsi="Times New Roman" w:eastAsia="黑体" w:cs="Times New Roman"/>
          <w:b w:val="0"/>
          <w:color w:val="auto"/>
          <w:highlight w:val="none"/>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 w:cs="Times New Roman"/>
          <w:b/>
          <w:color w:val="auto"/>
          <w:sz w:val="32"/>
          <w:szCs w:val="32"/>
          <w:highlight w:val="none"/>
        </w:rPr>
      </w:pPr>
      <w:bookmarkStart w:id="28" w:name="_Toc15377210"/>
      <w:r>
        <w:rPr>
          <w:rFonts w:hint="default" w:ascii="Times New Roman" w:hAnsi="Times New Roman" w:eastAsia="仿宋" w:cs="Times New Roman"/>
          <w:b/>
          <w:color w:val="auto"/>
          <w:sz w:val="32"/>
          <w:szCs w:val="32"/>
          <w:highlight w:val="none"/>
        </w:rPr>
        <w:t>（一）一般公共预算财政拨款支出决算总体情况</w:t>
      </w:r>
      <w:bookmarkEnd w:id="28"/>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1286.96</w:t>
      </w:r>
      <w:r>
        <w:rPr>
          <w:rFonts w:hint="default" w:ascii="Times New Roman" w:hAnsi="Times New Roman" w:eastAsia="仿宋" w:cs="Times New Roman"/>
          <w:color w:val="auto"/>
          <w:sz w:val="32"/>
          <w:szCs w:val="32"/>
          <w:highlight w:val="none"/>
        </w:rPr>
        <w:t>万元，占本年支出合计的</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增加</w:t>
      </w:r>
      <w:r>
        <w:rPr>
          <w:rFonts w:hint="default" w:ascii="Times New Roman" w:hAnsi="Times New Roman" w:eastAsia="仿宋_GB2312" w:cs="Times New Roman"/>
          <w:color w:val="auto"/>
          <w:sz w:val="32"/>
          <w:szCs w:val="32"/>
          <w:lang w:val="en-US" w:eastAsia="zh-CN"/>
        </w:rPr>
        <w:t>385.81</w:t>
      </w:r>
      <w:r>
        <w:rPr>
          <w:rFonts w:hint="default" w:ascii="Times New Roman" w:hAnsi="Times New Roman" w:eastAsia="仿宋" w:cs="Times New Roman"/>
          <w:color w:val="auto"/>
          <w:sz w:val="32"/>
          <w:szCs w:val="32"/>
          <w:highlight w:val="none"/>
        </w:rPr>
        <w:t>万元，增长</w:t>
      </w:r>
      <w:r>
        <w:rPr>
          <w:rFonts w:hint="default" w:ascii="Times New Roman" w:hAnsi="Times New Roman" w:eastAsia="仿宋" w:cs="Times New Roman"/>
          <w:color w:val="auto"/>
          <w:sz w:val="32"/>
          <w:szCs w:val="32"/>
          <w:highlight w:val="none"/>
          <w:lang w:val="en-US" w:eastAsia="zh-CN"/>
        </w:rPr>
        <w:t>43</w:t>
      </w:r>
      <w:r>
        <w:rPr>
          <w:rFonts w:hint="default" w:ascii="Times New Roman" w:hAnsi="Times New Roman" w:eastAsia="仿宋" w:cs="Times New Roman"/>
          <w:color w:val="auto"/>
          <w:sz w:val="32"/>
          <w:szCs w:val="32"/>
          <w:highlight w:val="none"/>
        </w:rPr>
        <w:t>%。主要变动原因</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lang w:val="en-US" w:eastAsia="zh-CN"/>
        </w:rPr>
        <w:t>一是当年预算追加无房户一次性补贴及2020年绩效考评奖156.79万元；二是招商引资业务费收支预算较2020年大幅增加</w:t>
      </w:r>
      <w:r>
        <w:rPr>
          <w:rFonts w:hint="default" w:ascii="Times New Roman" w:hAnsi="Times New Roman" w:eastAsia="仿宋" w:cs="Times New Roman"/>
          <w:b/>
          <w:color w:val="auto"/>
          <w:sz w:val="32"/>
          <w:szCs w:val="32"/>
          <w:highlight w:val="none"/>
          <w:lang w:eastAsia="zh-CN"/>
        </w:rPr>
        <w:t>。</w:t>
      </w:r>
    </w:p>
    <w:p>
      <w:pPr>
        <w:pStyle w:val="7"/>
        <w:rPr>
          <w:rFonts w:hint="default" w:ascii="Times New Roman" w:hAnsi="Times New Roman" w:cs="Times New Roman"/>
        </w:rPr>
      </w:pPr>
      <w:r>
        <w:rPr>
          <w:rFonts w:hint="default" w:ascii="Times New Roman" w:hAnsi="Times New Roman" w:eastAsia="仿宋_GB2312" w:cs="Times New Roman"/>
          <w:color w:val="auto"/>
          <w:sz w:val="32"/>
          <w:szCs w:val="32"/>
          <w:lang w:val="en-US" w:eastAsia="zh-CN"/>
        </w:rPr>
        <w:drawing>
          <wp:inline distT="0" distB="0" distL="114300" distR="114300">
            <wp:extent cx="5574030" cy="2744470"/>
            <wp:effectExtent l="4445" t="4445" r="9525" b="698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hint="default" w:ascii="Times New Roman" w:hAnsi="Times New Roman" w:eastAsia="仿宋" w:cs="Times New Roman"/>
          <w:b/>
          <w:color w:val="auto"/>
          <w:sz w:val="32"/>
          <w:szCs w:val="32"/>
          <w:highlight w:val="none"/>
        </w:rPr>
      </w:pPr>
      <w:bookmarkStart w:id="29" w:name="_Toc15377211"/>
      <w:r>
        <w:rPr>
          <w:rFonts w:hint="default" w:ascii="Times New Roman" w:hAnsi="Times New Roman" w:eastAsia="仿宋" w:cs="Times New Roman"/>
          <w:b/>
          <w:color w:val="auto"/>
          <w:sz w:val="32"/>
          <w:szCs w:val="32"/>
          <w:highlight w:val="none"/>
        </w:rPr>
        <w:t>（二）一般公共预算财政拨款支出决算结构情况</w:t>
      </w:r>
      <w:bookmarkEnd w:id="29"/>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1286.96</w:t>
      </w:r>
      <w:r>
        <w:rPr>
          <w:rFonts w:hint="default" w:ascii="Times New Roman" w:hAnsi="Times New Roman" w:eastAsia="仿宋" w:cs="Times New Roman"/>
          <w:color w:val="auto"/>
          <w:sz w:val="32"/>
          <w:szCs w:val="32"/>
          <w:highlight w:val="none"/>
        </w:rPr>
        <w:t>万元，主要用于以下方面:</w:t>
      </w:r>
      <w:r>
        <w:rPr>
          <w:rFonts w:hint="default" w:ascii="Times New Roman" w:hAnsi="Times New Roman" w:eastAsia="仿宋" w:cs="Times New Roman"/>
          <w:b/>
          <w:color w:val="auto"/>
          <w:sz w:val="32"/>
          <w:szCs w:val="32"/>
          <w:highlight w:val="none"/>
        </w:rPr>
        <w:t>一般公共服务（类）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1051.52</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_GB2312" w:cs="Times New Roman"/>
          <w:i w:val="0"/>
          <w:color w:val="000000"/>
          <w:kern w:val="0"/>
          <w:sz w:val="32"/>
          <w:szCs w:val="32"/>
          <w:u w:val="none"/>
          <w:lang w:val="en-US" w:eastAsia="zh-CN" w:bidi="ar"/>
        </w:rPr>
        <w:t>81.71</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社会保障和就业（类）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51.66</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4.01</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卫生健康支出</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1.63</w:t>
      </w:r>
      <w:r>
        <w:rPr>
          <w:rFonts w:hint="default" w:ascii="Times New Roman" w:hAnsi="Times New Roman" w:eastAsia="仿宋" w:cs="Times New Roman"/>
          <w:color w:val="auto"/>
          <w:sz w:val="32"/>
          <w:szCs w:val="32"/>
          <w:highlight w:val="none"/>
        </w:rPr>
        <w:t>%；住房保障支出</w:t>
      </w:r>
      <w:r>
        <w:rPr>
          <w:rFonts w:hint="default" w:ascii="Times New Roman" w:hAnsi="Times New Roman" w:eastAsia="仿宋" w:cs="Times New Roman"/>
          <w:color w:val="auto"/>
          <w:sz w:val="32"/>
          <w:szCs w:val="32"/>
          <w:highlight w:val="none"/>
          <w:lang w:val="en-US" w:eastAsia="zh-CN"/>
        </w:rPr>
        <w:t>162.78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12.65</w:t>
      </w:r>
      <w:r>
        <w:rPr>
          <w:rFonts w:hint="default" w:ascii="Times New Roman" w:hAnsi="Times New Roman" w:eastAsia="仿宋" w:cs="Times New Roman"/>
          <w:color w:val="auto"/>
          <w:sz w:val="32"/>
          <w:szCs w:val="32"/>
          <w:highlight w:val="none"/>
        </w:rPr>
        <w:t>%。</w:t>
      </w:r>
    </w:p>
    <w:p>
      <w:pPr>
        <w:jc w:val="left"/>
        <w:rPr>
          <w:rFonts w:hint="default" w:ascii="Times New Roman" w:hAnsi="Times New Roman" w:cs="Times New Roman"/>
          <w:lang w:val="en-US" w:eastAsia="zh-CN"/>
        </w:rPr>
      </w:pPr>
    </w:p>
    <w:p>
      <w:pPr>
        <w:rPr>
          <w:rFonts w:hint="default" w:ascii="Times New Roman" w:hAnsi="Times New Roman" w:cs="Times New Roman"/>
        </w:rPr>
      </w:pPr>
      <w:r>
        <w:rPr>
          <w:rFonts w:hint="default" w:ascii="Times New Roman" w:hAnsi="Times New Roman" w:eastAsia="仿宋" w:cs="Times New Roman"/>
          <w:color w:val="auto"/>
          <w:sz w:val="32"/>
          <w:szCs w:val="32"/>
          <w:highlight w:val="none"/>
          <w:lang w:eastAsia="zh-CN"/>
        </w:rPr>
        <w:drawing>
          <wp:inline distT="0" distB="0" distL="114300" distR="114300">
            <wp:extent cx="5080000" cy="3384550"/>
            <wp:effectExtent l="4445" t="4445" r="82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hint="default" w:ascii="Times New Roman" w:hAnsi="Times New Roman" w:eastAsia="仿宋" w:cs="Times New Roman"/>
          <w:b/>
          <w:color w:val="auto"/>
          <w:sz w:val="32"/>
          <w:szCs w:val="32"/>
          <w:highlight w:val="none"/>
        </w:rPr>
      </w:pPr>
      <w:bookmarkStart w:id="30" w:name="_Toc15377212"/>
      <w:r>
        <w:rPr>
          <w:rFonts w:hint="default" w:ascii="Times New Roman" w:hAnsi="Times New Roman" w:eastAsia="仿宋" w:cs="Times New Roman"/>
          <w:b/>
          <w:color w:val="auto"/>
          <w:sz w:val="32"/>
          <w:szCs w:val="32"/>
          <w:highlight w:val="none"/>
        </w:rPr>
        <w:t>（三）一般公共预算财政拨款支出决算具体情况</w:t>
      </w:r>
      <w:bookmarkEnd w:id="30"/>
    </w:p>
    <w:p>
      <w:pPr>
        <w:spacing w:line="600" w:lineRule="exact"/>
        <w:ind w:firstLine="643" w:firstLineChars="200"/>
        <w:outlineLvl w:val="2"/>
        <w:rPr>
          <w:rFonts w:hint="default" w:ascii="Times New Roman" w:hAnsi="Times New Roman" w:eastAsia="仿宋" w:cs="Times New Roman"/>
          <w:color w:val="auto"/>
          <w:sz w:val="32"/>
          <w:szCs w:val="32"/>
          <w:highlight w:val="none"/>
        </w:rPr>
      </w:pPr>
      <w:bookmarkStart w:id="31" w:name="_Toc15377444"/>
      <w:bookmarkStart w:id="32" w:name="_Toc15377213"/>
      <w:bookmarkStart w:id="33" w:name="_Toc15378460"/>
      <w:r>
        <w:rPr>
          <w:rFonts w:hint="default" w:ascii="Times New Roman" w:hAnsi="Times New Roman" w:eastAsia="仿宋" w:cs="Times New Roman"/>
          <w:b/>
          <w:color w:val="auto"/>
          <w:sz w:val="32"/>
          <w:szCs w:val="32"/>
          <w:highlight w:val="none"/>
        </w:rPr>
        <w:t>20</w:t>
      </w:r>
      <w:r>
        <w:rPr>
          <w:rFonts w:hint="default" w:ascii="Times New Roman" w:hAnsi="Times New Roman" w:eastAsia="仿宋" w:cs="Times New Roman"/>
          <w:b/>
          <w:color w:val="auto"/>
          <w:sz w:val="32"/>
          <w:szCs w:val="32"/>
          <w:highlight w:val="none"/>
          <w:lang w:val="en-US" w:eastAsia="zh-CN"/>
        </w:rPr>
        <w:t>21</w:t>
      </w:r>
      <w:r>
        <w:rPr>
          <w:rFonts w:hint="default" w:ascii="Times New Roman" w:hAnsi="Times New Roman" w:eastAsia="仿宋" w:cs="Times New Roman"/>
          <w:b/>
          <w:color w:val="auto"/>
          <w:sz w:val="32"/>
          <w:szCs w:val="32"/>
          <w:highlight w:val="none"/>
        </w:rPr>
        <w:t>年</w:t>
      </w:r>
      <w:r>
        <w:rPr>
          <w:rFonts w:hint="default" w:ascii="Times New Roman" w:hAnsi="Times New Roman" w:eastAsia="仿宋" w:cs="Times New Roman"/>
          <w:b/>
          <w:color w:val="auto"/>
          <w:sz w:val="32"/>
          <w:szCs w:val="32"/>
          <w:highlight w:val="none"/>
          <w:lang w:eastAsia="zh-CN"/>
        </w:rPr>
        <w:t>一</w:t>
      </w:r>
      <w:r>
        <w:rPr>
          <w:rFonts w:hint="default" w:ascii="Times New Roman" w:hAnsi="Times New Roman" w:eastAsia="仿宋" w:cs="Times New Roman"/>
          <w:b/>
          <w:color w:val="auto"/>
          <w:sz w:val="32"/>
          <w:szCs w:val="32"/>
          <w:highlight w:val="none"/>
        </w:rPr>
        <w:t>般公共预算支出决算数为</w:t>
      </w:r>
      <w:r>
        <w:rPr>
          <w:rFonts w:hint="default" w:ascii="Times New Roman" w:hAnsi="Times New Roman" w:eastAsia="仿宋" w:cs="Times New Roman"/>
          <w:color w:val="auto"/>
          <w:sz w:val="32"/>
          <w:szCs w:val="32"/>
          <w:highlight w:val="none"/>
          <w:lang w:val="en-US" w:eastAsia="zh-CN"/>
        </w:rPr>
        <w:t>1286.96</w:t>
      </w:r>
      <w:r>
        <w:rPr>
          <w:rFonts w:hint="eastAsia" w:eastAsia="仿宋" w:cs="Times New Roman"/>
          <w:color w:val="auto"/>
          <w:sz w:val="32"/>
          <w:szCs w:val="32"/>
          <w:highlight w:val="none"/>
          <w:lang w:val="en-US" w:eastAsia="zh-CN"/>
        </w:rPr>
        <w:t>万元</w:t>
      </w:r>
      <w:r>
        <w:rPr>
          <w:rFonts w:hint="default" w:ascii="Times New Roman" w:hAnsi="Times New Roman" w:eastAsia="仿宋" w:cs="Times New Roman"/>
          <w:color w:val="auto"/>
          <w:sz w:val="32"/>
          <w:szCs w:val="32"/>
          <w:highlight w:val="none"/>
        </w:rPr>
        <w:t>，</w:t>
      </w:r>
      <w:r>
        <w:rPr>
          <w:rStyle w:val="16"/>
          <w:rFonts w:hint="default" w:ascii="Times New Roman" w:hAnsi="Times New Roman" w:eastAsia="仿宋" w:cs="Times New Roman"/>
          <w:bCs/>
          <w:color w:val="auto"/>
          <w:sz w:val="32"/>
          <w:szCs w:val="32"/>
          <w:highlight w:val="none"/>
        </w:rPr>
        <w:t>完成预算</w:t>
      </w:r>
      <w:r>
        <w:rPr>
          <w:rStyle w:val="16"/>
          <w:rFonts w:hint="default" w:ascii="Times New Roman" w:hAnsi="Times New Roman" w:eastAsia="仿宋" w:cs="Times New Roman"/>
          <w:bCs/>
          <w:color w:val="auto"/>
          <w:sz w:val="32"/>
          <w:szCs w:val="32"/>
          <w:highlight w:val="none"/>
          <w:lang w:val="en-US" w:eastAsia="zh-CN"/>
        </w:rPr>
        <w:t>100</w:t>
      </w:r>
      <w:r>
        <w:rPr>
          <w:rStyle w:val="16"/>
          <w:rFonts w:hint="default" w:ascii="Times New Roman" w:hAnsi="Times New Roman" w:eastAsia="仿宋" w:cs="Times New Roman"/>
          <w:bCs/>
          <w:color w:val="auto"/>
          <w:sz w:val="32"/>
          <w:szCs w:val="32"/>
          <w:highlight w:val="none"/>
        </w:rPr>
        <w:t>%。其中：</w:t>
      </w:r>
      <w:bookmarkEnd w:id="31"/>
      <w:bookmarkEnd w:id="32"/>
      <w:bookmarkEnd w:id="33"/>
    </w:p>
    <w:p>
      <w:pPr>
        <w:numPr>
          <w:ilvl w:val="0"/>
          <w:numId w:val="2"/>
        </w:numPr>
        <w:spacing w:line="600" w:lineRule="exact"/>
        <w:ind w:firstLine="643" w:firstLineChars="200"/>
        <w:rPr>
          <w:rStyle w:val="16"/>
          <w:rFonts w:hint="default" w:ascii="Times New Roman" w:hAnsi="Times New Roman" w:eastAsia="仿宋" w:cs="Times New Roman"/>
          <w:b w:val="0"/>
          <w:bCs/>
          <w:color w:val="auto"/>
          <w:sz w:val="32"/>
          <w:szCs w:val="32"/>
          <w:highlight w:val="none"/>
          <w:lang w:val="en-US" w:eastAsia="zh-CN"/>
        </w:rPr>
      </w:pPr>
      <w:r>
        <w:rPr>
          <w:rStyle w:val="16"/>
          <w:rFonts w:hint="default" w:ascii="Times New Roman" w:hAnsi="Times New Roman" w:eastAsia="仿宋" w:cs="Times New Roman"/>
          <w:bCs/>
          <w:color w:val="auto"/>
          <w:sz w:val="32"/>
          <w:szCs w:val="32"/>
          <w:highlight w:val="none"/>
        </w:rPr>
        <w:t>一般公共服务（类）</w:t>
      </w:r>
      <w:r>
        <w:rPr>
          <w:rStyle w:val="16"/>
          <w:rFonts w:hint="default" w:ascii="Times New Roman" w:hAnsi="Times New Roman" w:eastAsia="仿宋" w:cs="Times New Roman"/>
          <w:bCs/>
          <w:color w:val="auto"/>
          <w:sz w:val="32"/>
          <w:szCs w:val="32"/>
          <w:highlight w:val="none"/>
          <w:lang w:val="en-US" w:eastAsia="zh-CN"/>
        </w:rPr>
        <w:t>商贸事务</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招商引资</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 xml:space="preserve"> 支出决算为</w:t>
      </w:r>
      <w:r>
        <w:rPr>
          <w:rStyle w:val="16"/>
          <w:rFonts w:hint="default" w:ascii="Times New Roman" w:hAnsi="Times New Roman" w:eastAsia="仿宋" w:cs="Times New Roman"/>
          <w:b w:val="0"/>
          <w:bCs/>
          <w:color w:val="auto"/>
          <w:sz w:val="32"/>
          <w:szCs w:val="32"/>
          <w:highlight w:val="none"/>
          <w:lang w:val="en-US" w:eastAsia="zh-CN"/>
        </w:rPr>
        <w:t>317.21</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numPr>
          <w:ilvl w:val="0"/>
          <w:numId w:val="0"/>
        </w:numPr>
        <w:spacing w:line="600" w:lineRule="exact"/>
        <w:ind w:firstLine="643" w:firstLineChars="200"/>
        <w:rPr>
          <w:rStyle w:val="16"/>
          <w:rFonts w:hint="default" w:ascii="Times New Roman" w:hAnsi="Times New Roman" w:eastAsia="仿宋" w:cs="Times New Roman"/>
          <w:b w:val="0"/>
          <w:bCs/>
          <w:color w:val="auto"/>
          <w:sz w:val="32"/>
          <w:szCs w:val="32"/>
          <w:highlight w:val="none"/>
          <w:lang w:val="en-US" w:eastAsia="zh-CN"/>
        </w:rPr>
      </w:pPr>
      <w:r>
        <w:rPr>
          <w:rStyle w:val="16"/>
          <w:rFonts w:hint="default" w:ascii="Times New Roman" w:hAnsi="Times New Roman" w:eastAsia="仿宋" w:cs="Times New Roman"/>
          <w:bCs/>
          <w:color w:val="auto"/>
          <w:sz w:val="32"/>
          <w:szCs w:val="32"/>
          <w:highlight w:val="none"/>
        </w:rPr>
        <w:t>2.一般公共服务（类）</w:t>
      </w:r>
      <w:r>
        <w:rPr>
          <w:rStyle w:val="16"/>
          <w:rFonts w:hint="default" w:ascii="Times New Roman" w:hAnsi="Times New Roman" w:eastAsia="仿宋" w:cs="Times New Roman"/>
          <w:bCs/>
          <w:color w:val="auto"/>
          <w:sz w:val="32"/>
          <w:szCs w:val="32"/>
          <w:highlight w:val="none"/>
          <w:lang w:val="en-US" w:eastAsia="zh-CN"/>
        </w:rPr>
        <w:t>商贸事务</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事业运行</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 xml:space="preserve"> 支出决算为</w:t>
      </w:r>
      <w:r>
        <w:rPr>
          <w:rStyle w:val="16"/>
          <w:rFonts w:hint="default" w:ascii="Times New Roman" w:hAnsi="Times New Roman" w:eastAsia="仿宋" w:cs="Times New Roman"/>
          <w:b w:val="0"/>
          <w:bCs/>
          <w:color w:val="auto"/>
          <w:sz w:val="32"/>
          <w:szCs w:val="32"/>
          <w:highlight w:val="none"/>
          <w:lang w:val="en-US" w:eastAsia="zh-CN"/>
        </w:rPr>
        <w:t>716.75</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spacing w:line="600" w:lineRule="exact"/>
        <w:ind w:firstLine="643" w:firstLineChars="200"/>
        <w:rPr>
          <w:rStyle w:val="16"/>
          <w:rFonts w:hint="default" w:ascii="Times New Roman" w:hAnsi="Times New Roman" w:eastAsia="仿宋" w:cs="Times New Roman"/>
          <w:b w:val="0"/>
          <w:bCs/>
          <w:color w:val="auto"/>
          <w:sz w:val="32"/>
          <w:szCs w:val="32"/>
          <w:highlight w:val="none"/>
        </w:rPr>
      </w:pPr>
      <w:r>
        <w:rPr>
          <w:rStyle w:val="16"/>
          <w:rFonts w:hint="default" w:ascii="Times New Roman" w:hAnsi="Times New Roman" w:eastAsia="仿宋" w:cs="Times New Roman"/>
          <w:bCs/>
          <w:color w:val="auto"/>
          <w:sz w:val="32"/>
          <w:szCs w:val="32"/>
          <w:highlight w:val="none"/>
        </w:rPr>
        <w:t>3.一般公共服务（类）</w:t>
      </w:r>
      <w:r>
        <w:rPr>
          <w:rStyle w:val="16"/>
          <w:rFonts w:hint="default" w:ascii="Times New Roman" w:hAnsi="Times New Roman" w:eastAsia="仿宋" w:cs="Times New Roman"/>
          <w:bCs/>
          <w:color w:val="auto"/>
          <w:sz w:val="32"/>
          <w:szCs w:val="32"/>
          <w:highlight w:val="none"/>
          <w:lang w:val="en-US" w:eastAsia="zh-CN"/>
        </w:rPr>
        <w:t>商贸事务</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其他商贸事务支出</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 xml:space="preserve"> 支出决算为</w:t>
      </w:r>
      <w:r>
        <w:rPr>
          <w:rStyle w:val="16"/>
          <w:rFonts w:hint="default" w:ascii="Times New Roman" w:hAnsi="Times New Roman" w:eastAsia="仿宋" w:cs="Times New Roman"/>
          <w:b w:val="0"/>
          <w:bCs/>
          <w:color w:val="auto"/>
          <w:sz w:val="32"/>
          <w:szCs w:val="32"/>
          <w:highlight w:val="none"/>
          <w:lang w:val="en-US" w:eastAsia="zh-CN"/>
        </w:rPr>
        <w:t>17.56</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spacing w:line="600" w:lineRule="exact"/>
        <w:ind w:firstLine="643" w:firstLineChars="200"/>
        <w:rPr>
          <w:rStyle w:val="16"/>
          <w:rFonts w:hint="default" w:ascii="Times New Roman" w:hAnsi="Times New Roman" w:eastAsia="仿宋" w:cs="Times New Roman"/>
          <w:b w:val="0"/>
          <w:bCs/>
          <w:color w:val="auto"/>
          <w:sz w:val="32"/>
          <w:szCs w:val="32"/>
          <w:highlight w:val="none"/>
        </w:rPr>
      </w:pPr>
      <w:r>
        <w:rPr>
          <w:rStyle w:val="16"/>
          <w:rFonts w:hint="default" w:ascii="Times New Roman" w:hAnsi="Times New Roman" w:eastAsia="仿宋" w:cs="Times New Roman"/>
          <w:bCs/>
          <w:color w:val="auto"/>
          <w:sz w:val="32"/>
          <w:szCs w:val="32"/>
          <w:highlight w:val="none"/>
        </w:rPr>
        <w:t>4.社会保障和就业（类）</w:t>
      </w:r>
      <w:r>
        <w:rPr>
          <w:rStyle w:val="16"/>
          <w:rFonts w:hint="default" w:ascii="Times New Roman" w:hAnsi="Times New Roman" w:eastAsia="仿宋" w:cs="Times New Roman"/>
          <w:bCs/>
          <w:color w:val="auto"/>
          <w:sz w:val="32"/>
          <w:szCs w:val="32"/>
          <w:highlight w:val="none"/>
          <w:lang w:val="en-US" w:eastAsia="zh-CN"/>
        </w:rPr>
        <w:t>行政事业单位养老支出</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机关事业单位基本养老保险缴费支出</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 xml:space="preserve"> 支出决算为</w:t>
      </w:r>
      <w:r>
        <w:rPr>
          <w:rStyle w:val="16"/>
          <w:rFonts w:hint="default" w:ascii="Times New Roman" w:hAnsi="Times New Roman" w:eastAsia="仿宋" w:cs="Times New Roman"/>
          <w:b w:val="0"/>
          <w:bCs/>
          <w:color w:val="auto"/>
          <w:sz w:val="32"/>
          <w:szCs w:val="32"/>
          <w:highlight w:val="none"/>
          <w:lang w:val="en-US" w:eastAsia="zh-CN"/>
        </w:rPr>
        <w:t>33.66</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pStyle w:val="7"/>
        <w:ind w:firstLine="643" w:firstLineChars="200"/>
        <w:rPr>
          <w:rFonts w:hint="default" w:ascii="Times New Roman" w:hAnsi="Times New Roman" w:cs="Times New Roman"/>
        </w:rPr>
      </w:pPr>
      <w:r>
        <w:rPr>
          <w:rStyle w:val="16"/>
          <w:rFonts w:hint="default" w:ascii="Times New Roman" w:hAnsi="Times New Roman" w:eastAsia="仿宋" w:cs="Times New Roman"/>
          <w:bCs/>
          <w:color w:val="auto"/>
          <w:sz w:val="32"/>
          <w:szCs w:val="32"/>
          <w:highlight w:val="none"/>
          <w:lang w:val="en-US" w:eastAsia="zh-CN"/>
        </w:rPr>
        <w:t>5</w:t>
      </w:r>
      <w:r>
        <w:rPr>
          <w:rStyle w:val="16"/>
          <w:rFonts w:hint="default" w:ascii="Times New Roman" w:hAnsi="Times New Roman" w:eastAsia="仿宋" w:cs="Times New Roman"/>
          <w:bCs/>
          <w:color w:val="auto"/>
          <w:sz w:val="32"/>
          <w:szCs w:val="32"/>
          <w:highlight w:val="none"/>
        </w:rPr>
        <w:t>.社会保障和就业（类）</w:t>
      </w:r>
      <w:r>
        <w:rPr>
          <w:rStyle w:val="16"/>
          <w:rFonts w:hint="default" w:ascii="Times New Roman" w:hAnsi="Times New Roman" w:eastAsia="仿宋" w:cs="Times New Roman"/>
          <w:bCs/>
          <w:color w:val="auto"/>
          <w:sz w:val="32"/>
          <w:szCs w:val="32"/>
          <w:highlight w:val="none"/>
          <w:lang w:val="en-US" w:eastAsia="zh-CN"/>
        </w:rPr>
        <w:t>行政事业单位养老支出</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机关事业单位职业年金缴费支出</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 xml:space="preserve"> 支出决算为</w:t>
      </w:r>
      <w:r>
        <w:rPr>
          <w:rStyle w:val="16"/>
          <w:rFonts w:hint="default" w:ascii="Times New Roman" w:hAnsi="Times New Roman" w:eastAsia="仿宋" w:cs="Times New Roman"/>
          <w:b w:val="0"/>
          <w:bCs/>
          <w:color w:val="auto"/>
          <w:sz w:val="32"/>
          <w:szCs w:val="32"/>
          <w:highlight w:val="none"/>
          <w:lang w:val="en-US" w:eastAsia="zh-CN"/>
        </w:rPr>
        <w:t>18</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spacing w:line="600" w:lineRule="exact"/>
        <w:ind w:firstLine="643" w:firstLineChars="200"/>
        <w:rPr>
          <w:rFonts w:hint="default" w:ascii="Times New Roman" w:hAnsi="Times New Roman" w:eastAsia="仿宋" w:cs="Times New Roman"/>
          <w:b/>
          <w:color w:val="auto"/>
          <w:sz w:val="32"/>
          <w:szCs w:val="32"/>
          <w:highlight w:val="none"/>
        </w:rPr>
      </w:pPr>
      <w:r>
        <w:rPr>
          <w:rStyle w:val="16"/>
          <w:rFonts w:hint="default" w:ascii="Times New Roman" w:hAnsi="Times New Roman" w:eastAsia="仿宋" w:cs="Times New Roman"/>
          <w:bCs/>
          <w:color w:val="auto"/>
          <w:sz w:val="32"/>
          <w:szCs w:val="32"/>
          <w:highlight w:val="none"/>
        </w:rPr>
        <w:t>6.</w:t>
      </w:r>
      <w:r>
        <w:rPr>
          <w:rFonts w:hint="default" w:ascii="Times New Roman" w:hAnsi="Times New Roman" w:eastAsia="仿宋" w:cs="Times New Roman"/>
          <w:b/>
          <w:bCs/>
          <w:color w:val="auto"/>
          <w:sz w:val="32"/>
          <w:szCs w:val="32"/>
          <w:highlight w:val="none"/>
        </w:rPr>
        <w:t>卫生健康</w:t>
      </w:r>
      <w:r>
        <w:rPr>
          <w:rStyle w:val="16"/>
          <w:rFonts w:hint="default" w:ascii="Times New Roman" w:hAnsi="Times New Roman" w:eastAsia="仿宋" w:cs="Times New Roman"/>
          <w:bCs/>
          <w:color w:val="auto"/>
          <w:sz w:val="32"/>
          <w:szCs w:val="32"/>
          <w:highlight w:val="none"/>
        </w:rPr>
        <w:t>（类）</w:t>
      </w:r>
      <w:r>
        <w:rPr>
          <w:rStyle w:val="16"/>
          <w:rFonts w:hint="default" w:ascii="Times New Roman" w:hAnsi="Times New Roman" w:eastAsia="仿宋" w:cs="Times New Roman"/>
          <w:bCs/>
          <w:color w:val="auto"/>
          <w:sz w:val="32"/>
          <w:szCs w:val="32"/>
          <w:highlight w:val="none"/>
          <w:lang w:val="en-US" w:eastAsia="zh-CN"/>
        </w:rPr>
        <w:t>行政事业单位医疗</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事业单位医疗</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支出决算为</w:t>
      </w:r>
      <w:r>
        <w:rPr>
          <w:rStyle w:val="16"/>
          <w:rFonts w:hint="default" w:ascii="Times New Roman" w:hAnsi="Times New Roman" w:eastAsia="仿宋" w:cs="Times New Roman"/>
          <w:b w:val="0"/>
          <w:bCs/>
          <w:color w:val="auto"/>
          <w:sz w:val="32"/>
          <w:szCs w:val="32"/>
          <w:highlight w:val="none"/>
          <w:lang w:val="en-US" w:eastAsia="zh-CN"/>
        </w:rPr>
        <w:t>21</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spacing w:line="600" w:lineRule="exact"/>
        <w:ind w:firstLine="643" w:firstLineChars="200"/>
        <w:rPr>
          <w:rStyle w:val="16"/>
          <w:rFonts w:hint="default" w:ascii="Times New Roman" w:hAnsi="Times New Roman" w:eastAsia="仿宋" w:cs="Times New Roman"/>
          <w:b w:val="0"/>
          <w:bCs/>
          <w:color w:val="auto"/>
          <w:sz w:val="32"/>
          <w:szCs w:val="32"/>
          <w:highlight w:val="none"/>
        </w:rPr>
      </w:pPr>
      <w:r>
        <w:rPr>
          <w:rStyle w:val="16"/>
          <w:rFonts w:hint="default" w:ascii="Times New Roman" w:hAnsi="Times New Roman" w:eastAsia="仿宋" w:cs="Times New Roman"/>
          <w:bCs/>
          <w:color w:val="auto"/>
          <w:sz w:val="32"/>
          <w:szCs w:val="32"/>
          <w:highlight w:val="none"/>
          <w:lang w:val="en-US" w:eastAsia="zh-CN"/>
        </w:rPr>
        <w:t>7</w:t>
      </w:r>
      <w:r>
        <w:rPr>
          <w:rStyle w:val="16"/>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lang w:val="en-US" w:eastAsia="zh-CN"/>
        </w:rPr>
        <w:t>住房保障</w:t>
      </w:r>
      <w:r>
        <w:rPr>
          <w:rStyle w:val="16"/>
          <w:rFonts w:hint="default" w:ascii="Times New Roman" w:hAnsi="Times New Roman" w:eastAsia="仿宋" w:cs="Times New Roman"/>
          <w:bCs/>
          <w:color w:val="auto"/>
          <w:sz w:val="32"/>
          <w:szCs w:val="32"/>
          <w:highlight w:val="none"/>
        </w:rPr>
        <w:t>（类）</w:t>
      </w:r>
      <w:r>
        <w:rPr>
          <w:rStyle w:val="16"/>
          <w:rFonts w:hint="default" w:ascii="Times New Roman" w:hAnsi="Times New Roman" w:eastAsia="仿宋" w:cs="Times New Roman"/>
          <w:bCs/>
          <w:color w:val="auto"/>
          <w:sz w:val="32"/>
          <w:szCs w:val="32"/>
          <w:highlight w:val="none"/>
          <w:lang w:val="en-US" w:eastAsia="zh-CN"/>
        </w:rPr>
        <w:t>住房改革支出</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住房公积金</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支出决算为</w:t>
      </w:r>
      <w:r>
        <w:rPr>
          <w:rStyle w:val="16"/>
          <w:rFonts w:hint="default" w:ascii="Times New Roman" w:hAnsi="Times New Roman" w:eastAsia="仿宋" w:cs="Times New Roman"/>
          <w:b w:val="0"/>
          <w:bCs/>
          <w:color w:val="auto"/>
          <w:sz w:val="32"/>
          <w:szCs w:val="32"/>
          <w:highlight w:val="none"/>
          <w:lang w:val="en-US" w:eastAsia="zh-CN"/>
        </w:rPr>
        <w:t>35</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spacing w:line="600" w:lineRule="exact"/>
        <w:ind w:firstLine="643" w:firstLineChars="200"/>
        <w:rPr>
          <w:rFonts w:hint="default" w:ascii="Times New Roman" w:hAnsi="Times New Roman" w:eastAsia="仿宋" w:cs="Times New Roman"/>
          <w:lang w:val="en-US" w:eastAsia="zh-CN"/>
        </w:rPr>
      </w:pPr>
      <w:r>
        <w:rPr>
          <w:rStyle w:val="16"/>
          <w:rFonts w:hint="default" w:ascii="Times New Roman" w:hAnsi="Times New Roman" w:eastAsia="仿宋" w:cs="Times New Roman"/>
          <w:bCs/>
          <w:color w:val="auto"/>
          <w:sz w:val="32"/>
          <w:szCs w:val="32"/>
          <w:highlight w:val="none"/>
          <w:lang w:val="en-US" w:eastAsia="zh-CN"/>
        </w:rPr>
        <w:t>8</w:t>
      </w:r>
      <w:r>
        <w:rPr>
          <w:rStyle w:val="16"/>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lang w:val="en-US" w:eastAsia="zh-CN"/>
        </w:rPr>
        <w:t>住房保障</w:t>
      </w:r>
      <w:r>
        <w:rPr>
          <w:rStyle w:val="16"/>
          <w:rFonts w:hint="default" w:ascii="Times New Roman" w:hAnsi="Times New Roman" w:eastAsia="仿宋" w:cs="Times New Roman"/>
          <w:bCs/>
          <w:color w:val="auto"/>
          <w:sz w:val="32"/>
          <w:szCs w:val="32"/>
          <w:highlight w:val="none"/>
        </w:rPr>
        <w:t>（类）</w:t>
      </w:r>
      <w:r>
        <w:rPr>
          <w:rStyle w:val="16"/>
          <w:rFonts w:hint="default" w:ascii="Times New Roman" w:hAnsi="Times New Roman" w:eastAsia="仿宋" w:cs="Times New Roman"/>
          <w:bCs/>
          <w:color w:val="auto"/>
          <w:sz w:val="32"/>
          <w:szCs w:val="32"/>
          <w:highlight w:val="none"/>
          <w:lang w:val="en-US" w:eastAsia="zh-CN"/>
        </w:rPr>
        <w:t>住房改革支出</w:t>
      </w:r>
      <w:r>
        <w:rPr>
          <w:rStyle w:val="16"/>
          <w:rFonts w:hint="default" w:ascii="Times New Roman" w:hAnsi="Times New Roman" w:eastAsia="仿宋" w:cs="Times New Roman"/>
          <w:bCs/>
          <w:color w:val="auto"/>
          <w:sz w:val="32"/>
          <w:szCs w:val="32"/>
          <w:highlight w:val="none"/>
        </w:rPr>
        <w:t>（款）</w:t>
      </w:r>
      <w:r>
        <w:rPr>
          <w:rStyle w:val="16"/>
          <w:rFonts w:hint="default" w:ascii="Times New Roman" w:hAnsi="Times New Roman" w:eastAsia="仿宋" w:cs="Times New Roman"/>
          <w:bCs/>
          <w:color w:val="auto"/>
          <w:sz w:val="32"/>
          <w:szCs w:val="32"/>
          <w:highlight w:val="none"/>
          <w:lang w:val="en-US" w:eastAsia="zh-CN"/>
        </w:rPr>
        <w:t>购房补贴</w:t>
      </w:r>
      <w:r>
        <w:rPr>
          <w:rStyle w:val="16"/>
          <w:rFonts w:hint="default" w:ascii="Times New Roman" w:hAnsi="Times New Roman" w:eastAsia="仿宋" w:cs="Times New Roman"/>
          <w:bCs/>
          <w:color w:val="auto"/>
          <w:sz w:val="32"/>
          <w:szCs w:val="32"/>
          <w:highlight w:val="none"/>
        </w:rPr>
        <w:t>（项）:</w:t>
      </w:r>
      <w:r>
        <w:rPr>
          <w:rStyle w:val="16"/>
          <w:rFonts w:hint="default" w:ascii="Times New Roman" w:hAnsi="Times New Roman" w:eastAsia="仿宋" w:cs="Times New Roman"/>
          <w:b w:val="0"/>
          <w:bCs/>
          <w:color w:val="auto"/>
          <w:sz w:val="32"/>
          <w:szCs w:val="32"/>
          <w:highlight w:val="none"/>
        </w:rPr>
        <w:t>支出决算为</w:t>
      </w:r>
      <w:r>
        <w:rPr>
          <w:rStyle w:val="16"/>
          <w:rFonts w:hint="default" w:ascii="Times New Roman" w:hAnsi="Times New Roman" w:eastAsia="仿宋" w:cs="Times New Roman"/>
          <w:b w:val="0"/>
          <w:bCs/>
          <w:color w:val="auto"/>
          <w:sz w:val="32"/>
          <w:szCs w:val="32"/>
          <w:highlight w:val="none"/>
          <w:lang w:val="en-US" w:eastAsia="zh-CN"/>
        </w:rPr>
        <w:t>127.78</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tabs>
          <w:tab w:val="right" w:pos="8306"/>
        </w:tabs>
        <w:spacing w:line="600" w:lineRule="exact"/>
        <w:ind w:firstLine="640"/>
        <w:outlineLvl w:val="1"/>
        <w:rPr>
          <w:rStyle w:val="28"/>
          <w:rFonts w:hint="default" w:ascii="Times New Roman" w:hAnsi="Times New Roman" w:cs="Times New Roman"/>
          <w:color w:val="auto"/>
          <w:highlight w:val="none"/>
        </w:rPr>
      </w:pPr>
      <w:bookmarkStart w:id="34" w:name="_Toc15396608"/>
      <w:bookmarkStart w:id="35" w:name="_Toc15377214"/>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8"/>
          <w:rFonts w:hint="default" w:ascii="Times New Roman" w:hAnsi="Times New Roman" w:eastAsia="黑体" w:cs="Times New Roman"/>
          <w:b w:val="0"/>
          <w:color w:val="auto"/>
          <w:highlight w:val="none"/>
        </w:rPr>
        <w:t>般公共预算财政拨款基本支出决算情况说明</w:t>
      </w:r>
      <w:bookmarkEnd w:id="34"/>
      <w:bookmarkEnd w:id="35"/>
      <w:r>
        <w:rPr>
          <w:rStyle w:val="28"/>
          <w:rFonts w:hint="default" w:ascii="Times New Roman" w:hAnsi="Times New Roman" w:eastAsia="黑体" w:cs="Times New Roman"/>
          <w:b w:val="0"/>
          <w:color w:val="auto"/>
          <w:highlight w:val="none"/>
        </w:rPr>
        <w:tab/>
      </w:r>
    </w:p>
    <w:p>
      <w:pPr>
        <w:spacing w:line="600" w:lineRule="exact"/>
        <w:ind w:firstLine="645"/>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952.19</w:t>
      </w:r>
      <w:r>
        <w:rPr>
          <w:rFonts w:hint="default" w:ascii="Times New Roman" w:hAnsi="Times New Roman" w:eastAsia="仿宋" w:cs="Times New Roman"/>
          <w:color w:val="auto"/>
          <w:sz w:val="32"/>
          <w:szCs w:val="32"/>
          <w:highlight w:val="none"/>
        </w:rPr>
        <w:t>万元，其中：</w:t>
      </w:r>
    </w:p>
    <w:p>
      <w:pPr>
        <w:spacing w:line="600" w:lineRule="exact"/>
        <w:ind w:firstLine="645"/>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572.74</w:t>
      </w:r>
      <w:r>
        <w:rPr>
          <w:rFonts w:hint="default" w:ascii="Times New Roman" w:hAnsi="Times New Roman" w:eastAsia="仿宋" w:cs="Times New Roman"/>
          <w:color w:val="auto"/>
          <w:sz w:val="32"/>
          <w:szCs w:val="32"/>
          <w:highlight w:val="none"/>
        </w:rPr>
        <w:t>万元，主要包括：基本工资、津贴补贴、绩效工资、机关事业单位基本养老保险缴费、职业年金缴费、其他社会保障缴费、其他工资福利支出、住房公积金、其他对个人和家庭的补助支出等。</w:t>
      </w:r>
      <w:r>
        <w:rPr>
          <w:rFonts w:hint="default" w:ascii="Times New Roman" w:hAnsi="Times New Roman" w:eastAsia="仿宋" w:cs="Times New Roman"/>
          <w:color w:val="auto"/>
          <w:sz w:val="32"/>
          <w:szCs w:val="32"/>
          <w:highlight w:val="none"/>
        </w:rPr>
        <w:br w:type="textWrapping"/>
      </w:r>
      <w:r>
        <w:rPr>
          <w:rFonts w:hint="default" w:ascii="Times New Roman" w:hAnsi="Times New Roman" w:eastAsia="仿宋" w:cs="Times New Roman"/>
          <w:color w:val="auto"/>
          <w:sz w:val="32"/>
          <w:szCs w:val="32"/>
          <w:highlight w:val="none"/>
        </w:rPr>
        <w:t>　　公用经费</w:t>
      </w:r>
      <w:r>
        <w:rPr>
          <w:rFonts w:hint="default" w:ascii="Times New Roman" w:hAnsi="Times New Roman" w:eastAsia="仿宋" w:cs="Times New Roman"/>
          <w:color w:val="auto"/>
          <w:sz w:val="32"/>
          <w:szCs w:val="32"/>
          <w:highlight w:val="none"/>
          <w:lang w:val="en-US" w:eastAsia="zh-CN"/>
        </w:rPr>
        <w:t>379.45</w:t>
      </w:r>
      <w:r>
        <w:rPr>
          <w:rFonts w:hint="default" w:ascii="Times New Roman" w:hAnsi="Times New Roman" w:eastAsia="仿宋" w:cs="Times New Roman"/>
          <w:color w:val="auto"/>
          <w:sz w:val="32"/>
          <w:szCs w:val="32"/>
          <w:highlight w:val="none"/>
        </w:rPr>
        <w:t>万元，主要包括：办公费、水费、电费、邮电费、差旅费、维修（护）费、租赁费、会议费、公务接待费、劳务费、委托业务费、工会经费、福利费、其他交通费、其他商品和服务支出等。</w:t>
      </w:r>
    </w:p>
    <w:p>
      <w:pPr>
        <w:spacing w:line="600" w:lineRule="exact"/>
        <w:ind w:firstLine="640"/>
        <w:outlineLvl w:val="1"/>
        <w:rPr>
          <w:rStyle w:val="28"/>
          <w:rFonts w:hint="default" w:ascii="Times New Roman" w:hAnsi="Times New Roman" w:eastAsia="黑体" w:cs="Times New Roman"/>
          <w:b w:val="0"/>
          <w:color w:val="auto"/>
          <w:highlight w:val="none"/>
        </w:rPr>
      </w:pPr>
      <w:bookmarkStart w:id="36" w:name="_Toc15396609"/>
      <w:bookmarkStart w:id="37" w:name="_Toc15377215"/>
      <w:r>
        <w:rPr>
          <w:rFonts w:hint="default" w:ascii="Times New Roman" w:hAnsi="Times New Roman" w:eastAsia="黑体" w:cs="Times New Roman"/>
          <w:color w:val="auto"/>
          <w:sz w:val="32"/>
          <w:szCs w:val="32"/>
          <w:highlight w:val="none"/>
        </w:rPr>
        <w:t>七、</w:t>
      </w:r>
      <w:r>
        <w:rPr>
          <w:rStyle w:val="28"/>
          <w:rFonts w:hint="default" w:ascii="Times New Roman" w:hAnsi="Times New Roman" w:eastAsia="黑体" w:cs="Times New Roman"/>
          <w:color w:val="auto"/>
          <w:highlight w:val="none"/>
        </w:rPr>
        <w:t>“</w:t>
      </w:r>
      <w:r>
        <w:rPr>
          <w:rStyle w:val="28"/>
          <w:rFonts w:hint="default" w:ascii="Times New Roman" w:hAnsi="Times New Roman" w:eastAsia="黑体" w:cs="Times New Roman"/>
          <w:b w:val="0"/>
          <w:color w:val="auto"/>
          <w:highlight w:val="none"/>
        </w:rPr>
        <w:t>三公”经费财政拨款支出决算情况说明</w:t>
      </w:r>
      <w:bookmarkEnd w:id="36"/>
      <w:bookmarkEnd w:id="37"/>
    </w:p>
    <w:p>
      <w:pPr>
        <w:spacing w:line="600" w:lineRule="exact"/>
        <w:ind w:firstLine="640"/>
        <w:outlineLvl w:val="2"/>
        <w:rPr>
          <w:rFonts w:hint="default" w:ascii="Times New Roman" w:hAnsi="Times New Roman" w:eastAsia="仿宋" w:cs="Times New Roman"/>
          <w:b/>
          <w:color w:val="auto"/>
          <w:sz w:val="32"/>
          <w:szCs w:val="32"/>
          <w:highlight w:val="none"/>
        </w:rPr>
      </w:pPr>
      <w:bookmarkStart w:id="38" w:name="_Toc15377216"/>
      <w:r>
        <w:rPr>
          <w:rFonts w:hint="default" w:ascii="Times New Roman" w:hAnsi="Times New Roman" w:eastAsia="仿宋" w:cs="Times New Roman"/>
          <w:b/>
          <w:color w:val="auto"/>
          <w:sz w:val="32"/>
          <w:szCs w:val="32"/>
          <w:highlight w:val="none"/>
        </w:rPr>
        <w:t>（一）“三公”经费财政拨款支出决算总体情况说明</w:t>
      </w:r>
      <w:bookmarkEnd w:id="38"/>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17.63</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29.38</w:t>
      </w:r>
      <w:r>
        <w:rPr>
          <w:rFonts w:hint="default" w:ascii="Times New Roman" w:hAnsi="Times New Roman" w:eastAsia="仿宋" w:cs="Times New Roman"/>
          <w:color w:val="auto"/>
          <w:sz w:val="32"/>
          <w:szCs w:val="32"/>
          <w:highlight w:val="none"/>
        </w:rPr>
        <w:t>%，决算数小于预算数的主要原因是</w:t>
      </w:r>
      <w:r>
        <w:rPr>
          <w:rFonts w:hint="default" w:ascii="Times New Roman" w:hAnsi="Times New Roman" w:eastAsia="仿宋" w:cs="Times New Roman"/>
          <w:color w:val="auto"/>
          <w:sz w:val="32"/>
          <w:szCs w:val="32"/>
          <w:highlight w:val="none"/>
          <w:lang w:val="en-US" w:eastAsia="zh-CN"/>
        </w:rPr>
        <w:t>受新冠疫情影响压缩“三公”经费支出</w:t>
      </w:r>
      <w:r>
        <w:rPr>
          <w:rFonts w:hint="default" w:ascii="Times New Roman" w:hAnsi="Times New Roman" w:eastAsia="仿宋" w:cs="Times New Roman"/>
          <w:color w:val="auto"/>
          <w:sz w:val="32"/>
          <w:szCs w:val="32"/>
          <w:highlight w:val="none"/>
        </w:rPr>
        <w:t>。</w:t>
      </w:r>
    </w:p>
    <w:p>
      <w:pPr>
        <w:spacing w:line="600" w:lineRule="exact"/>
        <w:ind w:firstLine="640"/>
        <w:outlineLvl w:val="2"/>
        <w:rPr>
          <w:rFonts w:hint="default" w:ascii="Times New Roman" w:hAnsi="Times New Roman" w:eastAsia="仿宋" w:cs="Times New Roman"/>
          <w:b/>
          <w:color w:val="auto"/>
          <w:sz w:val="32"/>
          <w:szCs w:val="32"/>
          <w:highlight w:val="none"/>
        </w:rPr>
      </w:pPr>
      <w:bookmarkStart w:id="39" w:name="_Toc15377217"/>
      <w:r>
        <w:rPr>
          <w:rFonts w:hint="default" w:ascii="Times New Roman" w:hAnsi="Times New Roman" w:eastAsia="仿宋" w:cs="Times New Roman"/>
          <w:b/>
          <w:color w:val="auto"/>
          <w:sz w:val="32"/>
          <w:szCs w:val="32"/>
          <w:highlight w:val="none"/>
        </w:rPr>
        <w:t>（二）“三公”经费财政拨款支出决算具体情况说明</w:t>
      </w:r>
      <w:bookmarkEnd w:id="39"/>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%；公务接待费支出决算</w:t>
      </w:r>
      <w:r>
        <w:rPr>
          <w:rFonts w:hint="default" w:ascii="Times New Roman" w:hAnsi="Times New Roman" w:eastAsia="仿宋" w:cs="Times New Roman"/>
          <w:color w:val="auto"/>
          <w:sz w:val="32"/>
          <w:szCs w:val="32"/>
          <w:highlight w:val="none"/>
          <w:lang w:val="en-US" w:eastAsia="zh-CN"/>
        </w:rPr>
        <w:t>17.63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%。具体情况如下：</w:t>
      </w:r>
    </w:p>
    <w:p>
      <w:pPr>
        <w:pStyle w:val="7"/>
        <w:rPr>
          <w:rFonts w:hint="default" w:ascii="Times New Roman" w:hAnsi="Times New Roman" w:eastAsia="仿宋" w:cs="Times New Roman"/>
          <w:color w:val="auto"/>
          <w:sz w:val="32"/>
          <w:szCs w:val="32"/>
          <w:highlight w:val="none"/>
        </w:rPr>
      </w:pPr>
    </w:p>
    <w:p>
      <w:pPr>
        <w:pStyle w:val="8"/>
        <w:rPr>
          <w:rFonts w:hint="default" w:ascii="Times New Roman" w:hAnsi="Times New Roman" w:eastAsia="仿宋" w:cs="Times New Roman"/>
          <w:color w:val="auto"/>
          <w:sz w:val="32"/>
          <w:szCs w:val="32"/>
          <w:highlight w:val="none"/>
          <w:lang w:eastAsia="zh-CN"/>
        </w:rPr>
      </w:pPr>
    </w:p>
    <w:p>
      <w:pPr>
        <w:rPr>
          <w:rFonts w:hint="default" w:ascii="Times New Roman" w:hAnsi="Times New Roman" w:eastAsia="仿宋" w:cs="Times New Roman"/>
          <w:color w:val="auto"/>
          <w:sz w:val="32"/>
          <w:szCs w:val="32"/>
          <w:highlight w:val="none"/>
          <w:lang w:eastAsia="zh-CN"/>
        </w:rPr>
      </w:pPr>
    </w:p>
    <w:p>
      <w:pPr>
        <w:pStyle w:val="7"/>
        <w:rPr>
          <w:rFonts w:hint="default"/>
        </w:rPr>
      </w:pPr>
      <w:r>
        <w:rPr>
          <w:rFonts w:hint="default" w:ascii="Times New Roman" w:hAnsi="Times New Roman" w:eastAsia="仿宋" w:cs="Times New Roman"/>
          <w:color w:val="auto"/>
          <w:sz w:val="32"/>
          <w:szCs w:val="32"/>
          <w:highlight w:val="none"/>
          <w:lang w:eastAsia="zh-CN"/>
        </w:rPr>
        <w:drawing>
          <wp:inline distT="0" distB="0" distL="114300" distR="114300">
            <wp:extent cx="5080000" cy="3810000"/>
            <wp:effectExtent l="4445" t="4445" r="8255" b="825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 w:cs="Times New Roman"/>
          <w:b w:val="0"/>
          <w:bCs/>
          <w:color w:val="auto"/>
          <w:sz w:val="32"/>
          <w:szCs w:val="32"/>
          <w:highlight w:val="none"/>
        </w:rPr>
        <w:t>完成预算</w:t>
      </w:r>
      <w:r>
        <w:rPr>
          <w:rStyle w:val="16"/>
          <w:rFonts w:hint="default" w:ascii="Times New Roman" w:hAnsi="Times New Roman" w:eastAsia="仿宋" w:cs="Times New Roman"/>
          <w:b w:val="0"/>
          <w:bCs/>
          <w:color w:val="auto"/>
          <w:sz w:val="32"/>
          <w:szCs w:val="32"/>
          <w:highlight w:val="none"/>
          <w:lang w:val="en-US" w:eastAsia="zh-CN"/>
        </w:rPr>
        <w:t>0</w:t>
      </w:r>
      <w:r>
        <w:rPr>
          <w:rStyle w:val="1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lang w:val="en-US" w:eastAsia="zh-CN"/>
        </w:rPr>
        <w:t>2020年持平</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 w:cs="Times New Roman"/>
          <w:b w:val="0"/>
          <w:bCs/>
          <w:color w:val="auto"/>
          <w:sz w:val="32"/>
          <w:szCs w:val="32"/>
          <w:highlight w:val="none"/>
        </w:rPr>
        <w:t>完成预算</w:t>
      </w:r>
      <w:r>
        <w:rPr>
          <w:rStyle w:val="16"/>
          <w:rFonts w:hint="default" w:ascii="Times New Roman" w:hAnsi="Times New Roman" w:eastAsia="仿宋" w:cs="Times New Roman"/>
          <w:b w:val="0"/>
          <w:bCs/>
          <w:color w:val="auto"/>
          <w:sz w:val="32"/>
          <w:szCs w:val="32"/>
          <w:highlight w:val="none"/>
          <w:lang w:val="en-US" w:eastAsia="zh-CN"/>
        </w:rPr>
        <w:t>0</w:t>
      </w:r>
      <w:r>
        <w:rPr>
          <w:rStyle w:val="1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持平</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17.63</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 w:cs="Times New Roman"/>
          <w:b w:val="0"/>
          <w:bCs/>
          <w:color w:val="auto"/>
          <w:sz w:val="32"/>
          <w:szCs w:val="32"/>
          <w:highlight w:val="none"/>
        </w:rPr>
        <w:t>完成预算</w:t>
      </w:r>
      <w:r>
        <w:rPr>
          <w:rStyle w:val="16"/>
          <w:rFonts w:hint="default" w:ascii="Times New Roman" w:hAnsi="Times New Roman" w:eastAsia="仿宋" w:cs="Times New Roman"/>
          <w:b w:val="0"/>
          <w:bCs/>
          <w:color w:val="auto"/>
          <w:sz w:val="32"/>
          <w:szCs w:val="32"/>
          <w:highlight w:val="none"/>
          <w:lang w:val="en-US" w:eastAsia="zh-CN"/>
        </w:rPr>
        <w:t>29.38</w:t>
      </w:r>
      <w:r>
        <w:rPr>
          <w:rStyle w:val="1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13.54</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43.44</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 w:cs="Times New Roman"/>
          <w:color w:val="auto"/>
          <w:sz w:val="32"/>
          <w:szCs w:val="32"/>
          <w:highlight w:val="none"/>
          <w:lang w:val="en-US" w:eastAsia="zh-CN"/>
        </w:rPr>
        <w:t>受新冠疫情影响压缩“三公”经费支出</w:t>
      </w:r>
      <w:r>
        <w:rPr>
          <w:rFonts w:hint="default" w:ascii="Times New Roman" w:hAnsi="Times New Roman" w:eastAsia="仿宋"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color w:val="auto"/>
          <w:sz w:val="32"/>
          <w:szCs w:val="32"/>
          <w:highlight w:val="none"/>
          <w:lang w:val="en-US" w:eastAsia="zh-CN"/>
        </w:rPr>
        <w:t>17.63</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000000"/>
          <w:sz w:val="32"/>
          <w:szCs w:val="32"/>
        </w:rPr>
        <w:t>开展投资促活动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highlight w:val="none"/>
        </w:rPr>
        <w:t>执行公务、开展业务活动开支的交通费、住宿费、用餐费等)。国内公务接待</w:t>
      </w:r>
      <w:r>
        <w:rPr>
          <w:rFonts w:hint="default" w:ascii="Times New Roman" w:hAnsi="Times New Roman" w:eastAsia="仿宋_GB2312" w:cs="Times New Roman"/>
          <w:color w:val="auto"/>
          <w:sz w:val="32"/>
          <w:szCs w:val="32"/>
          <w:highlight w:val="none"/>
          <w:lang w:val="en-US" w:eastAsia="zh-CN"/>
        </w:rPr>
        <w:t>40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600</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17.63</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val="en-US" w:eastAsia="zh-CN"/>
        </w:rPr>
        <w:t>举办第十八届西博会、2021知名企业四川行等重大投资促进活动以及日常开展经济合作类活动商务接待相关支出。</w:t>
      </w:r>
    </w:p>
    <w:p>
      <w:pPr>
        <w:spacing w:line="600" w:lineRule="exact"/>
        <w:ind w:firstLine="640"/>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bookmarkStart w:id="40" w:name="_Toc15396610"/>
      <w:bookmarkStart w:id="41" w:name="_Toc15377218"/>
    </w:p>
    <w:p>
      <w:pPr>
        <w:spacing w:line="600" w:lineRule="exact"/>
        <w:ind w:firstLine="640"/>
        <w:outlineLvl w:val="1"/>
        <w:rPr>
          <w:rStyle w:val="28"/>
          <w:rFonts w:hint="default" w:ascii="Times New Roman" w:hAnsi="Times New Roman" w:eastAsia="黑体" w:cs="Times New Roman"/>
          <w:color w:val="auto"/>
          <w:highlight w:val="none"/>
        </w:rPr>
      </w:pPr>
      <w:r>
        <w:rPr>
          <w:rFonts w:hint="default" w:ascii="Times New Roman" w:hAnsi="Times New Roman" w:eastAsia="黑体" w:cs="Times New Roman"/>
          <w:color w:val="auto"/>
          <w:sz w:val="32"/>
          <w:szCs w:val="32"/>
          <w:highlight w:val="none"/>
        </w:rPr>
        <w:t>八、</w:t>
      </w:r>
      <w:r>
        <w:rPr>
          <w:rStyle w:val="28"/>
          <w:rFonts w:hint="default" w:ascii="Times New Roman" w:hAnsi="Times New Roman" w:eastAsia="黑体" w:cs="Times New Roman"/>
          <w:b w:val="0"/>
          <w:color w:val="auto"/>
          <w:highlight w:val="none"/>
        </w:rPr>
        <w:t>政府性基金预算支出决算情况说明</w:t>
      </w:r>
      <w:bookmarkEnd w:id="40"/>
      <w:bookmarkEnd w:id="41"/>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3"/>
        </w:numPr>
        <w:spacing w:line="600" w:lineRule="exact"/>
        <w:ind w:firstLine="640"/>
        <w:outlineLvl w:val="1"/>
        <w:rPr>
          <w:rStyle w:val="28"/>
          <w:rFonts w:hint="default" w:ascii="Times New Roman" w:hAnsi="Times New Roman" w:eastAsia="黑体" w:cs="Times New Roman"/>
          <w:b w:val="0"/>
          <w:color w:val="auto"/>
          <w:highlight w:val="none"/>
        </w:rPr>
      </w:pPr>
      <w:bookmarkStart w:id="42" w:name="_Toc15396611"/>
      <w:bookmarkStart w:id="43" w:name="_Toc15377219"/>
      <w:r>
        <w:rPr>
          <w:rStyle w:val="28"/>
          <w:rFonts w:hint="default" w:ascii="Times New Roman" w:hAnsi="Times New Roman" w:eastAsia="黑体" w:cs="Times New Roman"/>
          <w:b w:val="0"/>
          <w:color w:val="auto"/>
          <w:highlight w:val="none"/>
        </w:rPr>
        <w:t>国有资本经营预算支出决算情况说明</w:t>
      </w:r>
      <w:bookmarkEnd w:id="42"/>
      <w:bookmarkEnd w:id="43"/>
    </w:p>
    <w:p>
      <w:pPr>
        <w:spacing w:line="600" w:lineRule="exact"/>
        <w:ind w:firstLine="640"/>
        <w:rPr>
          <w:rFonts w:hint="default" w:ascii="Times New Roman" w:hAnsi="Times New Roman" w:eastAsia="方正小标宋简体" w:cs="Times New Roman"/>
          <w:color w:val="auto"/>
          <w:sz w:val="44"/>
          <w:szCs w:val="44"/>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3"/>
        </w:numPr>
        <w:spacing w:line="600" w:lineRule="exact"/>
        <w:ind w:firstLine="640"/>
        <w:outlineLvl w:val="1"/>
        <w:rPr>
          <w:rStyle w:val="28"/>
          <w:rFonts w:hint="default" w:ascii="Times New Roman" w:hAnsi="Times New Roman" w:eastAsia="黑体" w:cs="Times New Roman"/>
          <w:b w:val="0"/>
          <w:color w:val="auto"/>
          <w:highlight w:val="none"/>
        </w:rPr>
      </w:pPr>
      <w:bookmarkStart w:id="44" w:name="_Toc15396612"/>
      <w:bookmarkStart w:id="45" w:name="_Toc15377221"/>
      <w:r>
        <w:rPr>
          <w:rStyle w:val="28"/>
          <w:rFonts w:hint="default" w:ascii="Times New Roman" w:hAnsi="Times New Roman" w:eastAsia="黑体" w:cs="Times New Roman"/>
          <w:b w:val="0"/>
          <w:color w:val="auto"/>
          <w:highlight w:val="none"/>
        </w:rPr>
        <w:t>其他重要事项的情况说明</w:t>
      </w:r>
      <w:bookmarkEnd w:id="44"/>
      <w:bookmarkEnd w:id="45"/>
    </w:p>
    <w:p>
      <w:pPr>
        <w:spacing w:line="600" w:lineRule="exact"/>
        <w:ind w:firstLine="643" w:firstLineChars="200"/>
        <w:outlineLvl w:val="2"/>
        <w:rPr>
          <w:rFonts w:hint="default" w:ascii="Times New Roman" w:hAnsi="Times New Roman" w:eastAsia="仿宋" w:cs="Times New Roman"/>
          <w:color w:val="auto"/>
          <w:sz w:val="32"/>
          <w:szCs w:val="32"/>
          <w:highlight w:val="none"/>
        </w:rPr>
      </w:pPr>
      <w:bookmarkStart w:id="46" w:name="_Toc15377222"/>
      <w:r>
        <w:rPr>
          <w:rFonts w:hint="default" w:ascii="Times New Roman" w:hAnsi="Times New Roman" w:eastAsia="仿宋" w:cs="Times New Roman"/>
          <w:b/>
          <w:color w:val="auto"/>
          <w:sz w:val="32"/>
          <w:szCs w:val="32"/>
          <w:highlight w:val="none"/>
        </w:rPr>
        <w:t>（一）机关运行经费支出情况</w:t>
      </w:r>
      <w:bookmarkEnd w:id="46"/>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四川省经济合作促进中心为事业单位，无</w:t>
      </w:r>
      <w:r>
        <w:rPr>
          <w:rFonts w:hint="default" w:ascii="Times New Roman" w:hAnsi="Times New Roman" w:eastAsia="仿宋_GB2312" w:cs="Times New Roman"/>
          <w:color w:val="auto"/>
          <w:sz w:val="32"/>
          <w:szCs w:val="32"/>
          <w:highlight w:val="none"/>
        </w:rPr>
        <w:t>机关运行经费支出。</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highlight w:val="none"/>
        </w:rPr>
      </w:pPr>
      <w:bookmarkStart w:id="47" w:name="_Toc15377223"/>
      <w:r>
        <w:rPr>
          <w:rFonts w:hint="default" w:ascii="Times New Roman" w:hAnsi="Times New Roman" w:eastAsia="仿宋" w:cs="Times New Roman"/>
          <w:b/>
          <w:color w:val="auto"/>
          <w:sz w:val="32"/>
          <w:szCs w:val="32"/>
          <w:highlight w:val="none"/>
        </w:rPr>
        <w:t>（二）政府采购支出情况</w:t>
      </w:r>
      <w:bookmarkEnd w:id="4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四川省经济合作促进中心</w:t>
      </w:r>
      <w:r>
        <w:rPr>
          <w:rFonts w:hint="default" w:ascii="Times New Roman" w:hAnsi="Times New Roman" w:eastAsia="仿宋_GB2312" w:cs="Times New Roman"/>
          <w:color w:val="auto"/>
          <w:sz w:val="32"/>
          <w:szCs w:val="32"/>
          <w:highlight w:val="none"/>
        </w:rPr>
        <w:t>政府采购支出总额</w:t>
      </w:r>
      <w:r>
        <w:rPr>
          <w:rFonts w:hint="default" w:ascii="Times New Roman" w:hAnsi="Times New Roman" w:eastAsia="仿宋_GB2312" w:cs="Times New Roman"/>
          <w:color w:val="auto"/>
          <w:sz w:val="32"/>
          <w:szCs w:val="32"/>
          <w:highlight w:val="none"/>
          <w:lang w:val="en-US" w:eastAsia="zh-CN"/>
        </w:rPr>
        <w:t>49.30</w:t>
      </w:r>
      <w:r>
        <w:rPr>
          <w:rFonts w:hint="default" w:ascii="Times New Roman" w:hAnsi="Times New Roman" w:eastAsia="仿宋_GB2312" w:cs="Times New Roman"/>
          <w:color w:val="auto"/>
          <w:sz w:val="32"/>
          <w:szCs w:val="32"/>
          <w:highlight w:val="none"/>
        </w:rPr>
        <w:t>万元，其中：政府采购货物支出</w:t>
      </w:r>
      <w:r>
        <w:rPr>
          <w:rFonts w:hint="default" w:ascii="Times New Roman" w:hAnsi="Times New Roman" w:eastAsia="仿宋_GB2312" w:cs="Times New Roman"/>
          <w:color w:val="auto"/>
          <w:sz w:val="32"/>
          <w:szCs w:val="32"/>
          <w:highlight w:val="none"/>
          <w:lang w:val="en-US" w:eastAsia="zh-CN"/>
        </w:rPr>
        <w:t>11.62</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37.68</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highlight w:val="none"/>
          <w:lang w:val="en-US" w:eastAsia="zh-CN"/>
        </w:rPr>
        <w:t>办公设备购置及重大经济合作类活动会场搭建布置等支出</w:t>
      </w:r>
      <w:r>
        <w:rPr>
          <w:rFonts w:hint="default" w:ascii="Times New Roman" w:hAnsi="Times New Roman" w:eastAsia="仿宋_GB2312" w:cs="Times New Roman"/>
          <w:color w:val="auto"/>
          <w:sz w:val="32"/>
          <w:szCs w:val="32"/>
          <w:highlight w:val="none"/>
        </w:rPr>
        <w:t>。授予中小企业合同金额</w:t>
      </w:r>
      <w:r>
        <w:rPr>
          <w:rFonts w:hint="default" w:ascii="Times New Roman" w:hAnsi="Times New Roman" w:eastAsia="仿宋_GB2312" w:cs="Times New Roman"/>
          <w:color w:val="auto"/>
          <w:sz w:val="32"/>
          <w:szCs w:val="32"/>
          <w:highlight w:val="none"/>
          <w:lang w:val="en-US" w:eastAsia="zh-CN"/>
        </w:rPr>
        <w:t>37.68</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76.43</w:t>
      </w:r>
      <w:r>
        <w:rPr>
          <w:rFonts w:hint="default" w:ascii="Times New Roman" w:hAnsi="Times New Roman" w:eastAsia="仿宋_GB2312" w:cs="Times New Roman"/>
          <w:color w:val="auto"/>
          <w:sz w:val="32"/>
          <w:szCs w:val="32"/>
          <w:highlight w:val="none"/>
        </w:rPr>
        <w:t>%，其中：授予小微企业合同金额</w:t>
      </w:r>
      <w:r>
        <w:rPr>
          <w:rFonts w:hint="default" w:ascii="Times New Roman" w:hAnsi="Times New Roman" w:eastAsia="仿宋_GB2312" w:cs="Times New Roman"/>
          <w:color w:val="auto"/>
          <w:sz w:val="32"/>
          <w:szCs w:val="32"/>
          <w:highlight w:val="none"/>
          <w:lang w:val="en-US" w:eastAsia="zh-CN"/>
        </w:rPr>
        <w:t>37.68</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76.43</w:t>
      </w:r>
      <w:r>
        <w:rPr>
          <w:rFonts w:hint="default" w:ascii="Times New Roman" w:hAnsi="Times New Roman" w:eastAsia="仿宋_GB2312" w:cs="Times New Roman"/>
          <w:color w:val="auto"/>
          <w:sz w:val="32"/>
          <w:szCs w:val="32"/>
          <w:highlight w:val="none"/>
        </w:rPr>
        <w:t>%。</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highlight w:val="none"/>
        </w:rPr>
      </w:pPr>
      <w:bookmarkStart w:id="48" w:name="_Toc15377224"/>
      <w:r>
        <w:rPr>
          <w:rFonts w:hint="default" w:ascii="Times New Roman" w:hAnsi="Times New Roman" w:eastAsia="仿宋" w:cs="Times New Roman"/>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val="en-US" w:eastAsia="zh-CN"/>
        </w:rPr>
        <w:t>四川省经济合作促进中心</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highlight w:val="none"/>
          <w:lang w:eastAsia="zh-CN"/>
        </w:rPr>
      </w:pPr>
      <w:r>
        <w:rPr>
          <w:rFonts w:hint="default" w:ascii="Times New Roman" w:hAnsi="Times New Roman" w:eastAsia="仿宋" w:cs="Times New Roman"/>
          <w:b/>
          <w:color w:val="auto"/>
          <w:sz w:val="32"/>
          <w:szCs w:val="32"/>
          <w:highlight w:val="none"/>
        </w:rPr>
        <w:t>（四）预算绩效管理情况</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根据预算绩效管理要求，本单位在</w:t>
      </w:r>
      <w:r>
        <w:rPr>
          <w:rFonts w:hint="default" w:ascii="Times New Roman" w:hAnsi="Times New Roman" w:eastAsia="仿宋_GB2312" w:cs="Times New Roman"/>
          <w:color w:val="auto"/>
          <w:sz w:val="32"/>
          <w:szCs w:val="32"/>
          <w:highlight w:val="none"/>
          <w:lang w:val="en-US" w:eastAsia="zh-CN"/>
        </w:rPr>
        <w:t>2021年度</w:t>
      </w:r>
      <w:r>
        <w:rPr>
          <w:rFonts w:hint="default" w:ascii="Times New Roman" w:hAnsi="Times New Roman" w:eastAsia="仿宋_GB2312" w:cs="Times New Roman"/>
          <w:color w:val="auto"/>
          <w:sz w:val="32"/>
          <w:szCs w:val="32"/>
          <w:highlight w:val="none"/>
        </w:rPr>
        <w:t>预算编制阶段，组织对</w:t>
      </w:r>
      <w:r>
        <w:rPr>
          <w:rFonts w:hint="default" w:ascii="Times New Roman" w:hAnsi="Times New Roman" w:eastAsia="仿宋_GB2312" w:cs="Times New Roman"/>
          <w:color w:val="auto"/>
          <w:sz w:val="32"/>
          <w:szCs w:val="32"/>
          <w:highlight w:val="none"/>
          <w:lang w:val="en-US" w:eastAsia="zh-CN"/>
        </w:rPr>
        <w:t>0个项目</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个项目开展了绩效自评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2021年特定目标类部门预算项目绩效目标自评表见附件（第四部分）</w:t>
      </w:r>
      <w:r>
        <w:rPr>
          <w:rFonts w:hint="default" w:ascii="Times New Roman" w:hAnsi="Times New Roman" w:eastAsia="仿宋_GB2312" w:cs="Times New Roman"/>
          <w:color w:val="auto"/>
          <w:sz w:val="32"/>
          <w:szCs w:val="32"/>
          <w:highlight w:val="none"/>
        </w:rPr>
        <w:t>。</w:t>
      </w:r>
    </w:p>
    <w:p>
      <w:pPr>
        <w:widowControl/>
        <w:jc w:val="left"/>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numPr>
          <w:ilvl w:val="0"/>
          <w:numId w:val="4"/>
        </w:numPr>
        <w:spacing w:line="600" w:lineRule="exact"/>
        <w:ind w:firstLine="660" w:firstLineChars="150"/>
        <w:jc w:val="center"/>
        <w:outlineLvl w:val="0"/>
        <w:rPr>
          <w:rStyle w:val="27"/>
          <w:rFonts w:hint="default" w:ascii="Times New Roman" w:hAnsi="Times New Roman" w:eastAsia="黑体" w:cs="Times New Roman"/>
          <w:b w:val="0"/>
          <w:color w:val="auto"/>
          <w:highlight w:val="none"/>
        </w:rPr>
      </w:pPr>
      <w:bookmarkStart w:id="49" w:name="_Toc15377225"/>
      <w:bookmarkStart w:id="50" w:name="_Toc15396613"/>
      <w:r>
        <w:rPr>
          <w:rFonts w:hint="default" w:ascii="Times New Roman" w:hAnsi="Times New Roman" w:eastAsia="黑体" w:cs="Times New Roman"/>
          <w:color w:val="auto"/>
          <w:sz w:val="44"/>
          <w:szCs w:val="44"/>
          <w:highlight w:val="none"/>
        </w:rPr>
        <w:t>名</w:t>
      </w:r>
      <w:r>
        <w:rPr>
          <w:rStyle w:val="27"/>
          <w:rFonts w:hint="default" w:ascii="Times New Roman" w:hAnsi="Times New Roman" w:eastAsia="黑体" w:cs="Times New Roman"/>
          <w:b w:val="0"/>
          <w:color w:val="auto"/>
          <w:highlight w:val="none"/>
        </w:rPr>
        <w:t>词解释</w:t>
      </w:r>
      <w:bookmarkEnd w:id="49"/>
      <w:bookmarkEnd w:id="50"/>
    </w:p>
    <w:p>
      <w:pPr>
        <w:spacing w:line="600" w:lineRule="exact"/>
        <w:jc w:val="left"/>
        <w:rPr>
          <w:rFonts w:hint="default" w:ascii="Times New Roman" w:hAnsi="Times New Roman" w:cs="Times New Roman"/>
          <w:b/>
          <w:color w:val="auto"/>
          <w:sz w:val="44"/>
          <w:szCs w:val="44"/>
          <w:highlight w:val="none"/>
        </w:rPr>
      </w:pPr>
    </w:p>
    <w:p>
      <w:pPr>
        <w:pStyle w:val="25"/>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ind w:firstLine="640" w:firstLineChars="200"/>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0"/>
          <w:sz w:val="32"/>
          <w:szCs w:val="32"/>
          <w:highlight w:val="none"/>
          <w:lang w:val="en-US" w:eastAsia="zh-CN" w:bidi="ar-SA"/>
        </w:rPr>
        <w:t>一般公共服务（类）商贸事务（款）招商引资（项）：指反映用于招商引资、优化经济环境等方面的支出。</w:t>
      </w:r>
    </w:p>
    <w:p>
      <w:pPr>
        <w:pStyle w:val="25"/>
        <w:spacing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3.一般公共服务（类）商贸事务（款）事业运行（项）:指反映事业单位的基本支出。</w:t>
      </w:r>
    </w:p>
    <w:p>
      <w:pPr>
        <w:pStyle w:val="25"/>
        <w:spacing w:line="600" w:lineRule="exact"/>
        <w:ind w:firstLine="640" w:firstLineChars="200"/>
        <w:jc w:val="both"/>
        <w:rPr>
          <w:rFonts w:hint="default" w:ascii="Times New Roman" w:hAnsi="Times New Roman" w:cs="Times New Roman"/>
        </w:rPr>
      </w:pPr>
      <w:r>
        <w:rPr>
          <w:rFonts w:hint="default" w:ascii="Times New Roman" w:hAnsi="Times New Roman" w:eastAsia="仿宋_GB2312" w:cs="Times New Roman"/>
          <w:color w:val="auto"/>
          <w:kern w:val="0"/>
          <w:sz w:val="32"/>
          <w:szCs w:val="32"/>
          <w:highlight w:val="none"/>
          <w:lang w:val="en-US" w:eastAsia="zh-CN" w:bidi="ar-SA"/>
        </w:rPr>
        <w:t>4.一般公共服务（类）其他商贸事务（款）其他商贸</w:t>
      </w:r>
      <w:r>
        <w:rPr>
          <w:rFonts w:hint="default" w:ascii="Times New Roman" w:hAnsi="Times New Roman" w:eastAsia="仿宋_GB2312" w:cs="Times New Roman"/>
          <w:sz w:val="32"/>
          <w:szCs w:val="32"/>
        </w:rPr>
        <w:t>事务支出（项）: 指反映除上述项目以外其他用于商贸事务方面的支出。</w:t>
      </w:r>
    </w:p>
    <w:p>
      <w:pPr>
        <w:pStyle w:val="25"/>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.社会保障和就业（类）行政事业单位养老支出（款）机关事业单位基本养老保险缴费支出（项）: 指反映机关事业单位实施养老保险制度由单位缴纳的基本保险费支出。</w:t>
      </w:r>
    </w:p>
    <w:p>
      <w:pPr>
        <w:pStyle w:val="25"/>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.社会保障和就业（类）行政事业单位养老支出（款）机关事业单位职业年金缴费支出（项）: 指反映机关事业单位实施养老保险制度由单位实际缴纳的职业年金支出。</w:t>
      </w:r>
    </w:p>
    <w:p>
      <w:pPr>
        <w:pStyle w:val="25"/>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.卫生健康支出（类）行政事业单位医疗（款）事业单位医疗（项）: 指反映财政部门集中安排的事业单位基本医疗保险缴费经费，未参加医疗保险的事业单位的公费医疗经费，按国家规定享受离休人员待遇的医疗经费。</w:t>
      </w:r>
    </w:p>
    <w:p>
      <w:pPr>
        <w:pStyle w:val="25"/>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.住房保障支出（类）住房改革（款）住房公积金（项）: 指反映行政事业单位按人力资源和社会保障部、财政部规定的基本工资和津贴补贴以及规定比例为职工缴纳的住房公积金。</w:t>
      </w:r>
    </w:p>
    <w:p>
      <w:pPr>
        <w:pStyle w:val="25"/>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.住房保障支出（类）住房改革（款）购房补贴（项）: 指反映按房改政策规定，行政事业单位向符合条件职工（含离退休）、军队（含武警）向转役复员离退休人员发放的用于购买住房的补贴。</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pStyle w:val="25"/>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7"/>
          <w:rFonts w:hint="default" w:ascii="Times New Roman" w:hAnsi="Times New Roman" w:eastAsia="黑体" w:cs="Times New Roman"/>
          <w:b w:val="0"/>
          <w:color w:val="auto"/>
          <w:highlight w:val="none"/>
        </w:rPr>
      </w:pPr>
      <w:bookmarkStart w:id="51" w:name="_Toc15377226"/>
      <w:r>
        <w:rPr>
          <w:rFonts w:hint="default" w:ascii="Times New Roman" w:hAnsi="Times New Roman" w:cs="Times New Roman"/>
          <w:b/>
          <w:color w:val="auto"/>
          <w:sz w:val="44"/>
          <w:szCs w:val="44"/>
          <w:highlight w:val="none"/>
        </w:rPr>
        <w:br w:type="page"/>
      </w:r>
      <w:bookmarkStart w:id="52" w:name="_Toc15396614"/>
      <w:r>
        <w:rPr>
          <w:rFonts w:hint="default" w:ascii="Times New Roman" w:hAnsi="Times New Roman" w:eastAsia="黑体" w:cs="Times New Roman"/>
          <w:color w:val="auto"/>
          <w:sz w:val="44"/>
          <w:szCs w:val="44"/>
          <w:highlight w:val="none"/>
        </w:rPr>
        <w:t>第</w:t>
      </w:r>
      <w:r>
        <w:rPr>
          <w:rStyle w:val="27"/>
          <w:rFonts w:hint="default" w:ascii="Times New Roman" w:hAnsi="Times New Roman" w:eastAsia="黑体" w:cs="Times New Roman"/>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附件</w:t>
      </w:r>
    </w:p>
    <w:p>
      <w:pPr>
        <w:widowControl/>
        <w:adjustRightInd w:val="0"/>
        <w:snapToGrid w:val="0"/>
        <w:spacing w:line="580" w:lineRule="exact"/>
        <w:contextualSpacing/>
        <w:jc w:val="center"/>
        <w:rPr>
          <w:rFonts w:hint="default" w:ascii="Times New Roman" w:hAnsi="Times New Roman" w:cs="Times New Roman"/>
          <w:color w:val="000000"/>
          <w:kern w:val="0"/>
          <w:sz w:val="20"/>
          <w:szCs w:val="20"/>
          <w:shd w:val="clear" w:color="auto" w:fill="FFFFFF"/>
        </w:rPr>
      </w:pPr>
      <w:bookmarkStart w:id="53" w:name="_Toc15396618"/>
      <w:r>
        <w:rPr>
          <w:rFonts w:hint="default" w:ascii="Times New Roman" w:hAnsi="Times New Roman" w:cs="Times New Roman" w:eastAsiaTheme="majorEastAsia"/>
          <w:b/>
          <w:bCs/>
          <w:kern w:val="0"/>
          <w:sz w:val="24"/>
        </w:rPr>
        <w:t>2021年100万元以上（含）特定目标类部门项目绩效目标自评</w:t>
      </w:r>
    </w:p>
    <w:tbl>
      <w:tblPr>
        <w:tblStyle w:val="18"/>
        <w:tblW w:w="9452" w:type="dxa"/>
        <w:jc w:val="center"/>
        <w:tblInd w:w="0" w:type="dxa"/>
        <w:tblLayout w:type="fixed"/>
        <w:tblCellMar>
          <w:top w:w="0" w:type="dxa"/>
          <w:left w:w="108" w:type="dxa"/>
          <w:bottom w:w="0" w:type="dxa"/>
          <w:right w:w="108" w:type="dxa"/>
        </w:tblCellMar>
      </w:tblPr>
      <w:tblGrid>
        <w:gridCol w:w="681"/>
        <w:gridCol w:w="792"/>
        <w:gridCol w:w="902"/>
        <w:gridCol w:w="928"/>
        <w:gridCol w:w="951"/>
        <w:gridCol w:w="1703"/>
        <w:gridCol w:w="3495"/>
      </w:tblGrid>
      <w:tr>
        <w:tblPrEx>
          <w:tblLayout w:type="fixed"/>
          <w:tblCellMar>
            <w:top w:w="0" w:type="dxa"/>
            <w:left w:w="108" w:type="dxa"/>
            <w:bottom w:w="0" w:type="dxa"/>
            <w:right w:w="108" w:type="dxa"/>
          </w:tblCellMar>
        </w:tblPrEx>
        <w:trPr>
          <w:trHeight w:val="285" w:hRule="atLeast"/>
          <w:jc w:val="center"/>
        </w:trPr>
        <w:tc>
          <w:tcPr>
            <w:tcW w:w="9452" w:type="dxa"/>
            <w:gridSpan w:val="7"/>
            <w:tcBorders>
              <w:top w:val="nil"/>
              <w:left w:val="nil"/>
              <w:bottom w:val="nil"/>
              <w:right w:val="nil"/>
            </w:tcBorders>
            <w:shd w:val="clear" w:color="auto" w:fill="auto"/>
            <w:vAlign w:val="center"/>
          </w:tcPr>
          <w:p>
            <w:pPr>
              <w:widowControl/>
              <w:spacing w:line="300" w:lineRule="exact"/>
              <w:jc w:val="center"/>
              <w:textAlignment w:val="center"/>
              <w:rPr>
                <w:rFonts w:hint="default" w:ascii="Times New Roman" w:hAnsi="Times New Roman" w:cs="Times New Roman" w:eastAsiaTheme="majorEastAsia"/>
                <w:b/>
                <w:bCs/>
                <w:kern w:val="0"/>
                <w:sz w:val="24"/>
              </w:rPr>
            </w:pPr>
            <w:r>
              <w:rPr>
                <w:rFonts w:hint="default" w:ascii="Times New Roman" w:hAnsi="Times New Roman" w:cs="Times New Roman" w:eastAsiaTheme="majorEastAsia"/>
                <w:b/>
                <w:bCs/>
                <w:kern w:val="0"/>
                <w:sz w:val="24"/>
              </w:rPr>
              <w:t>（招商引资业务费）</w:t>
            </w:r>
          </w:p>
          <w:p>
            <w:pPr>
              <w:widowControl/>
              <w:spacing w:line="300" w:lineRule="exact"/>
              <w:jc w:val="center"/>
              <w:textAlignment w:val="center"/>
              <w:rPr>
                <w:rFonts w:hint="default" w:ascii="Times New Roman" w:hAnsi="Times New Roman" w:cs="Times New Roman" w:eastAsiaTheme="majorEastAsia"/>
                <w:b/>
                <w:bCs/>
                <w:kern w:val="0"/>
                <w:sz w:val="24"/>
              </w:rPr>
            </w:pPr>
          </w:p>
        </w:tc>
      </w:tr>
      <w:tr>
        <w:tblPrEx>
          <w:tblLayout w:type="fixed"/>
          <w:tblCellMar>
            <w:top w:w="0" w:type="dxa"/>
            <w:left w:w="108" w:type="dxa"/>
            <w:bottom w:w="0" w:type="dxa"/>
            <w:right w:w="108" w:type="dxa"/>
          </w:tblCellMar>
        </w:tblPrEx>
        <w:trPr>
          <w:trHeight w:val="439" w:hRule="atLeast"/>
          <w:jc w:val="center"/>
        </w:trPr>
        <w:tc>
          <w:tcPr>
            <w:tcW w:w="14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主管部门及</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代码</w:t>
            </w:r>
          </w:p>
        </w:tc>
        <w:tc>
          <w:tcPr>
            <w:tcW w:w="27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四川省经济合作局</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实施单位</w:t>
            </w:r>
          </w:p>
        </w:tc>
        <w:tc>
          <w:tcPr>
            <w:tcW w:w="34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四川省经济合作促进中心</w:t>
            </w:r>
          </w:p>
        </w:tc>
      </w:tr>
      <w:tr>
        <w:tblPrEx>
          <w:tblLayout w:type="fixed"/>
          <w:tblCellMar>
            <w:top w:w="0" w:type="dxa"/>
            <w:left w:w="108" w:type="dxa"/>
            <w:bottom w:w="0" w:type="dxa"/>
            <w:right w:w="108" w:type="dxa"/>
          </w:tblCellMar>
        </w:tblPrEx>
        <w:trPr>
          <w:trHeight w:val="439" w:hRule="atLeast"/>
          <w:jc w:val="center"/>
        </w:trPr>
        <w:tc>
          <w:tcPr>
            <w:tcW w:w="147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项目预算</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执行情况</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（万元）</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预算数：</w:t>
            </w:r>
          </w:p>
        </w:tc>
        <w:tc>
          <w:tcPr>
            <w:tcW w:w="95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239.7</w:t>
            </w:r>
          </w:p>
        </w:tc>
        <w:tc>
          <w:tcPr>
            <w:tcW w:w="170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执行数：</w:t>
            </w:r>
          </w:p>
        </w:tc>
        <w:tc>
          <w:tcPr>
            <w:tcW w:w="349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239.7</w:t>
            </w:r>
          </w:p>
        </w:tc>
      </w:tr>
      <w:tr>
        <w:tblPrEx>
          <w:tblLayout w:type="fixed"/>
          <w:tblCellMar>
            <w:top w:w="0" w:type="dxa"/>
            <w:left w:w="108" w:type="dxa"/>
            <w:bottom w:w="0" w:type="dxa"/>
            <w:right w:w="108" w:type="dxa"/>
          </w:tblCellMar>
        </w:tblPrEx>
        <w:trPr>
          <w:trHeight w:val="439" w:hRule="atLeast"/>
          <w:jc w:val="center"/>
        </w:trPr>
        <w:tc>
          <w:tcPr>
            <w:tcW w:w="1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20"/>
                <w:szCs w:val="20"/>
              </w:rPr>
            </w:pP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其中：财政拨款</w:t>
            </w:r>
          </w:p>
        </w:tc>
        <w:tc>
          <w:tcPr>
            <w:tcW w:w="95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239.7</w:t>
            </w:r>
          </w:p>
        </w:tc>
        <w:tc>
          <w:tcPr>
            <w:tcW w:w="170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其中：财政拨款</w:t>
            </w:r>
          </w:p>
        </w:tc>
        <w:tc>
          <w:tcPr>
            <w:tcW w:w="349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239.7</w:t>
            </w:r>
          </w:p>
        </w:tc>
      </w:tr>
      <w:tr>
        <w:tblPrEx>
          <w:tblLayout w:type="fixed"/>
          <w:tblCellMar>
            <w:top w:w="0" w:type="dxa"/>
            <w:left w:w="108" w:type="dxa"/>
            <w:bottom w:w="0" w:type="dxa"/>
            <w:right w:w="108" w:type="dxa"/>
          </w:tblCellMar>
        </w:tblPrEx>
        <w:trPr>
          <w:trHeight w:val="439" w:hRule="atLeast"/>
          <w:jc w:val="center"/>
        </w:trPr>
        <w:tc>
          <w:tcPr>
            <w:tcW w:w="1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20"/>
                <w:szCs w:val="20"/>
              </w:rPr>
            </w:pP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其他资金</w:t>
            </w:r>
          </w:p>
        </w:tc>
        <w:tc>
          <w:tcPr>
            <w:tcW w:w="95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0.0</w:t>
            </w:r>
          </w:p>
        </w:tc>
        <w:tc>
          <w:tcPr>
            <w:tcW w:w="170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其他资金</w:t>
            </w:r>
          </w:p>
        </w:tc>
        <w:tc>
          <w:tcPr>
            <w:tcW w:w="349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0.0</w:t>
            </w:r>
          </w:p>
        </w:tc>
      </w:tr>
      <w:tr>
        <w:tblPrEx>
          <w:tblLayout w:type="fixed"/>
          <w:tblCellMar>
            <w:top w:w="0" w:type="dxa"/>
            <w:left w:w="108" w:type="dxa"/>
            <w:bottom w:w="0" w:type="dxa"/>
            <w:right w:w="108" w:type="dxa"/>
          </w:tblCellMar>
        </w:tblPrEx>
        <w:trPr>
          <w:trHeight w:val="439" w:hRule="atLeast"/>
          <w:jc w:val="center"/>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年度</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总体</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目标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完成</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情况</w:t>
            </w:r>
          </w:p>
        </w:tc>
        <w:tc>
          <w:tcPr>
            <w:tcW w:w="357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预期目标</w:t>
            </w:r>
          </w:p>
        </w:tc>
        <w:tc>
          <w:tcPr>
            <w:tcW w:w="519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目标实际完成情况</w:t>
            </w:r>
          </w:p>
        </w:tc>
      </w:tr>
      <w:tr>
        <w:tblPrEx>
          <w:tblLayout w:type="fixed"/>
          <w:tblCellMar>
            <w:top w:w="0" w:type="dxa"/>
            <w:left w:w="108" w:type="dxa"/>
            <w:bottom w:w="0" w:type="dxa"/>
            <w:right w:w="108" w:type="dxa"/>
          </w:tblCellMar>
        </w:tblPrEx>
        <w:trPr>
          <w:trHeight w:val="1984" w:hRule="atLeast"/>
          <w:jc w:val="center"/>
        </w:trPr>
        <w:tc>
          <w:tcPr>
            <w:tcW w:w="68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20"/>
                <w:szCs w:val="20"/>
              </w:rPr>
            </w:pPr>
          </w:p>
        </w:tc>
        <w:tc>
          <w:tcPr>
            <w:tcW w:w="357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根据部门职能职责，为夯实招商引资工作基础，进一步推进招商引资重大项目促进和落实，全力做好项目对接所需的会议、人员、交通等后勤保障，助推全省招商引资工作再上新台阶。</w:t>
            </w:r>
          </w:p>
        </w:tc>
        <w:tc>
          <w:tcPr>
            <w:tcW w:w="5198"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根据部门职能职责，为进一步推进经济合作重大项目促进和落实，全年共计完成投资推介活动三场，其中省外投资推介会</w:t>
            </w:r>
            <w:r>
              <w:rPr>
                <w:rFonts w:hint="eastAsia" w:ascii="Times New Roman" w:hAnsi="Times New Roman" w:cs="Times New Roman"/>
                <w:kern w:val="0"/>
                <w:sz w:val="20"/>
                <w:szCs w:val="20"/>
                <w:lang w:val="en-US" w:eastAsia="zh-CN"/>
              </w:rPr>
              <w:t>一</w:t>
            </w:r>
            <w:r>
              <w:rPr>
                <w:rFonts w:hint="default" w:ascii="Times New Roman" w:hAnsi="Times New Roman" w:cs="Times New Roman"/>
                <w:kern w:val="0"/>
                <w:sz w:val="20"/>
                <w:szCs w:val="20"/>
              </w:rPr>
              <w:t>场，对我省省情及营商环境起到了更好的宣传作用；同时保障了助推经济合作项目相关的劳务支出、食堂就餐，车辆租赁等后勤支出。</w:t>
            </w:r>
          </w:p>
        </w:tc>
      </w:tr>
      <w:tr>
        <w:tblPrEx>
          <w:tblLayout w:type="fixed"/>
          <w:tblCellMar>
            <w:top w:w="0" w:type="dxa"/>
            <w:left w:w="108" w:type="dxa"/>
            <w:bottom w:w="0" w:type="dxa"/>
            <w:right w:w="108" w:type="dxa"/>
          </w:tblCellMar>
        </w:tblPrEx>
        <w:trPr>
          <w:trHeight w:val="439" w:hRule="atLeast"/>
          <w:jc w:val="center"/>
        </w:trPr>
        <w:tc>
          <w:tcPr>
            <w:tcW w:w="681"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年</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度</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绩</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效</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指</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标</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完</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成</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情</w:t>
            </w:r>
          </w:p>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况</w:t>
            </w:r>
          </w:p>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9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一级指标</w:t>
            </w:r>
          </w:p>
        </w:tc>
        <w:tc>
          <w:tcPr>
            <w:tcW w:w="90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二级指标</w:t>
            </w:r>
          </w:p>
        </w:tc>
        <w:tc>
          <w:tcPr>
            <w:tcW w:w="18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三级指标</w:t>
            </w:r>
          </w:p>
        </w:tc>
        <w:tc>
          <w:tcPr>
            <w:tcW w:w="170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预期指标值</w:t>
            </w:r>
          </w:p>
        </w:tc>
        <w:tc>
          <w:tcPr>
            <w:tcW w:w="349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实际完成指标值</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vAlign w:val="center"/>
          </w:tcPr>
          <w:p>
            <w:pPr>
              <w:spacing w:line="300" w:lineRule="exact"/>
              <w:jc w:val="left"/>
              <w:rPr>
                <w:rFonts w:hint="default" w:ascii="Times New Roman" w:hAnsi="Times New Roman" w:cs="Times New Roman"/>
                <w:kern w:val="0"/>
                <w:sz w:val="20"/>
                <w:szCs w:val="20"/>
              </w:rPr>
            </w:pPr>
          </w:p>
        </w:tc>
        <w:tc>
          <w:tcPr>
            <w:tcW w:w="7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完</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成</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标</w:t>
            </w:r>
          </w:p>
        </w:tc>
        <w:tc>
          <w:tcPr>
            <w:tcW w:w="90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数量指标</w:t>
            </w: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劳务派遣</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20人</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完成了经济合作相关的劳务派遣人员12人次劳务支出</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continue"/>
            <w:tcBorders>
              <w:top w:val="nil"/>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90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车辆租赁</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r>
              <w:rPr>
                <w:rFonts w:hint="eastAsia" w:ascii="Times New Roman" w:hAnsi="Times New Roman" w:cs="Times New Roman"/>
                <w:kern w:val="0"/>
                <w:sz w:val="20"/>
                <w:szCs w:val="20"/>
                <w:lang w:val="en-US" w:eastAsia="zh-CN"/>
              </w:rPr>
              <w:t>元</w:t>
            </w:r>
            <w:r>
              <w:rPr>
                <w:rFonts w:hint="default" w:ascii="Times New Roman" w:hAnsi="Times New Roman" w:cs="Times New Roman"/>
                <w:kern w:val="0"/>
                <w:sz w:val="20"/>
                <w:szCs w:val="20"/>
              </w:rPr>
              <w:t>/台</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保障了接待及陪同客商考察的车辆租赁</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continue"/>
            <w:tcBorders>
              <w:top w:val="nil"/>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90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就餐人数</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63人</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保障了超过63人次的就餐经费支出</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continue"/>
            <w:tcBorders>
              <w:top w:val="nil"/>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90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质量指标</w:t>
            </w: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驾驶技术</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娴熟</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劳务外聘驾驶人员全年驾驶无安全事故</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continue"/>
            <w:tcBorders>
              <w:top w:val="nil"/>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90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食品卫生</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合格</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全年食堂用餐无食品安全隐患</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continue"/>
            <w:tcBorders>
              <w:top w:val="nil"/>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902" w:type="dxa"/>
            <w:vMerge w:val="continue"/>
            <w:tcBorders>
              <w:top w:val="nil"/>
              <w:left w:val="single" w:color="000000"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网络通信</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顺畅</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保障了经济合作相关工作网络通信</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restart"/>
            <w:tcBorders>
              <w:top w:val="nil"/>
              <w:left w:val="single" w:color="auto" w:sz="4" w:space="0"/>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效</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益</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标</w:t>
            </w:r>
          </w:p>
        </w:tc>
        <w:tc>
          <w:tcPr>
            <w:tcW w:w="902"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经济效益指标</w:t>
            </w: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优化营商环境打造西部投资首选地</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签约投资额</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为实现签约投资额，</w:t>
            </w:r>
            <w:r>
              <w:rPr>
                <w:rFonts w:hint="default" w:ascii="Times New Roman" w:hAnsi="Times New Roman" w:cs="Times New Roman"/>
                <w:kern w:val="0"/>
                <w:sz w:val="20"/>
                <w:szCs w:val="20"/>
              </w:rPr>
              <w:t>全年完成投资</w:t>
            </w:r>
            <w:r>
              <w:rPr>
                <w:rFonts w:hint="eastAsia" w:ascii="Times New Roman" w:hAnsi="Times New Roman" w:cs="Times New Roman"/>
                <w:kern w:val="0"/>
                <w:sz w:val="20"/>
                <w:szCs w:val="20"/>
                <w:lang w:val="en-US" w:eastAsia="zh-CN"/>
              </w:rPr>
              <w:t>促进</w:t>
            </w:r>
            <w:r>
              <w:rPr>
                <w:rFonts w:hint="default" w:ascii="Times New Roman" w:hAnsi="Times New Roman" w:cs="Times New Roman"/>
                <w:kern w:val="0"/>
                <w:sz w:val="20"/>
                <w:szCs w:val="20"/>
              </w:rPr>
              <w:t>推介活动三场，其中省外投资推介会</w:t>
            </w:r>
            <w:r>
              <w:rPr>
                <w:rFonts w:hint="eastAsia" w:ascii="Times New Roman" w:hAnsi="Times New Roman" w:cs="Times New Roman"/>
                <w:kern w:val="0"/>
                <w:sz w:val="20"/>
                <w:szCs w:val="20"/>
                <w:lang w:val="en-US" w:eastAsia="zh-CN"/>
              </w:rPr>
              <w:t>一</w:t>
            </w:r>
            <w:r>
              <w:rPr>
                <w:rFonts w:hint="default" w:ascii="Times New Roman" w:hAnsi="Times New Roman" w:cs="Times New Roman"/>
                <w:kern w:val="0"/>
                <w:sz w:val="20"/>
                <w:szCs w:val="20"/>
              </w:rPr>
              <w:t>场</w:t>
            </w:r>
            <w:r>
              <w:rPr>
                <w:rFonts w:hint="eastAsia" w:ascii="Times New Roman" w:hAnsi="Times New Roman" w:cs="Times New Roman"/>
                <w:kern w:val="0"/>
                <w:sz w:val="20"/>
                <w:szCs w:val="20"/>
                <w:lang w:eastAsia="zh-CN"/>
              </w:rPr>
              <w:t>。</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right w:val="single" w:color="auto" w:sz="4" w:space="0"/>
            </w:tcBorders>
            <w:shd w:val="clear" w:color="auto" w:fill="auto"/>
            <w:vAlign w:val="center"/>
          </w:tcPr>
          <w:p>
            <w:pPr>
              <w:spacing w:line="300" w:lineRule="exact"/>
              <w:jc w:val="left"/>
              <w:rPr>
                <w:rFonts w:hint="default" w:ascii="Times New Roman" w:hAnsi="Times New Roman" w:cs="Times New Roman"/>
                <w:kern w:val="0"/>
                <w:sz w:val="20"/>
                <w:szCs w:val="20"/>
              </w:rPr>
            </w:pPr>
          </w:p>
        </w:tc>
        <w:tc>
          <w:tcPr>
            <w:tcW w:w="792" w:type="dxa"/>
            <w:vMerge w:val="continue"/>
            <w:tcBorders>
              <w:top w:val="nil"/>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cs="Times New Roman"/>
                <w:kern w:val="0"/>
                <w:sz w:val="20"/>
                <w:szCs w:val="20"/>
              </w:rPr>
            </w:pPr>
          </w:p>
        </w:tc>
        <w:tc>
          <w:tcPr>
            <w:tcW w:w="902"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社会效益指标</w:t>
            </w: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搭建招商引资平台提升四川对外形象</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合作企业对四川投资环境满意度≧90%</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通过投资推介活动，进一步提升对四川营商环境的认识</w:t>
            </w:r>
          </w:p>
        </w:tc>
      </w:tr>
      <w:tr>
        <w:tblPrEx>
          <w:tblLayout w:type="fixed"/>
          <w:tblCellMar>
            <w:top w:w="0" w:type="dxa"/>
            <w:left w:w="108" w:type="dxa"/>
            <w:bottom w:w="0" w:type="dxa"/>
            <w:right w:w="108" w:type="dxa"/>
          </w:tblCellMar>
        </w:tblPrEx>
        <w:trPr>
          <w:trHeight w:val="480" w:hRule="atLeast"/>
          <w:jc w:val="center"/>
        </w:trPr>
        <w:tc>
          <w:tcPr>
            <w:tcW w:w="681" w:type="dxa"/>
            <w:vMerge w:val="continue"/>
            <w:tcBorders>
              <w:left w:val="single" w:color="auto" w:sz="4" w:space="0"/>
              <w:bottom w:val="single" w:color="000000" w:sz="4" w:space="0"/>
              <w:right w:val="single" w:color="auto"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p>
        </w:tc>
        <w:tc>
          <w:tcPr>
            <w:tcW w:w="792" w:type="dxa"/>
            <w:tcBorders>
              <w:top w:val="nil"/>
              <w:left w:val="single" w:color="auto" w:sz="4" w:space="0"/>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满意</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度指</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标</w:t>
            </w:r>
          </w:p>
        </w:tc>
        <w:tc>
          <w:tcPr>
            <w:tcW w:w="902"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满意度指标</w:t>
            </w: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服务保障对象</w:t>
            </w:r>
          </w:p>
        </w:tc>
        <w:tc>
          <w:tcPr>
            <w:tcW w:w="1703"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满意度≧90%</w:t>
            </w:r>
          </w:p>
        </w:tc>
        <w:tc>
          <w:tcPr>
            <w:tcW w:w="3495" w:type="dxa"/>
            <w:tcBorders>
              <w:top w:val="nil"/>
              <w:left w:val="nil"/>
              <w:bottom w:val="single" w:color="000000" w:sz="4" w:space="0"/>
              <w:right w:val="single" w:color="000000" w:sz="4" w:space="0"/>
            </w:tcBorders>
            <w:shd w:val="clear" w:color="auto" w:fill="auto"/>
            <w:vAlign w:val="center"/>
          </w:tcPr>
          <w:p>
            <w:pPr>
              <w:widowControl/>
              <w:spacing w:line="300" w:lineRule="exact"/>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满意度≧90%</w:t>
            </w:r>
          </w:p>
        </w:tc>
      </w:tr>
    </w:tbl>
    <w:p>
      <w:pPr>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color w:val="auto"/>
          <w:sz w:val="44"/>
          <w:szCs w:val="44"/>
          <w:highlight w:val="none"/>
        </w:rPr>
      </w:pPr>
    </w:p>
    <w:p>
      <w:pPr>
        <w:spacing w:line="600" w:lineRule="exact"/>
        <w:jc w:val="center"/>
        <w:outlineLvl w:val="0"/>
        <w:rPr>
          <w:rFonts w:hint="default" w:ascii="Times New Roman" w:hAnsi="Times New Roman" w:eastAsia="仿宋" w:cs="Times New Roman"/>
          <w:b w:val="0"/>
          <w:color w:val="auto"/>
          <w:highlight w:val="none"/>
        </w:rPr>
      </w:pPr>
      <w:r>
        <w:rPr>
          <w:rFonts w:hint="default" w:ascii="Times New Roman" w:hAnsi="Times New Roman" w:eastAsia="黑体" w:cs="Times New Roman"/>
          <w:color w:val="auto"/>
          <w:sz w:val="44"/>
          <w:szCs w:val="44"/>
          <w:highlight w:val="none"/>
        </w:rPr>
        <w:t>第</w:t>
      </w:r>
      <w:r>
        <w:rPr>
          <w:rStyle w:val="27"/>
          <w:rFonts w:hint="default" w:ascii="Times New Roman" w:hAnsi="Times New Roman" w:eastAsia="黑体" w:cs="Times New Roman"/>
          <w:b w:val="0"/>
          <w:color w:val="auto"/>
          <w:highlight w:val="none"/>
        </w:rPr>
        <w:t>五部分 附表</w:t>
      </w:r>
      <w:bookmarkEnd w:id="51"/>
      <w:bookmarkEnd w:id="53"/>
      <w:bookmarkStart w:id="54" w:name="_Toc15396619"/>
    </w:p>
    <w:p>
      <w:pPr>
        <w:pStyle w:val="5"/>
        <w:rPr>
          <w:rFonts w:hint="default" w:ascii="Times New Roman" w:hAnsi="Times New Roman" w:eastAsia="仿宋" w:cs="Times New Roman"/>
          <w:color w:val="auto"/>
          <w:highlight w:val="none"/>
        </w:rPr>
      </w:pPr>
      <w:r>
        <w:rPr>
          <w:rFonts w:hint="default" w:ascii="Times New Roman" w:hAnsi="Times New Roman" w:eastAsia="仿宋" w:cs="Times New Roman"/>
          <w:b w:val="0"/>
          <w:color w:val="auto"/>
          <w:highlight w:val="none"/>
        </w:rPr>
        <w:t>一、收</w:t>
      </w:r>
      <w:r>
        <w:rPr>
          <w:rStyle w:val="28"/>
          <w:rFonts w:hint="default" w:ascii="Times New Roman" w:hAnsi="Times New Roman" w:eastAsia="仿宋" w:cs="Times New Roman"/>
          <w:b w:val="0"/>
          <w:bCs w:val="0"/>
          <w:color w:val="auto"/>
          <w:highlight w:val="none"/>
        </w:rPr>
        <w:t>入支出决算总表</w:t>
      </w:r>
      <w:bookmarkEnd w:id="54"/>
    </w:p>
    <w:p>
      <w:pPr>
        <w:pStyle w:val="5"/>
        <w:rPr>
          <w:rFonts w:hint="default" w:ascii="Times New Roman" w:hAnsi="Times New Roman" w:eastAsia="仿宋" w:cs="Times New Roman"/>
          <w:color w:val="auto"/>
          <w:highlight w:val="none"/>
        </w:rPr>
      </w:pPr>
      <w:bookmarkStart w:id="55" w:name="_Toc15396620"/>
      <w:r>
        <w:rPr>
          <w:rFonts w:hint="default" w:ascii="Times New Roman" w:hAnsi="Times New Roman" w:eastAsia="仿宋" w:cs="Times New Roman"/>
          <w:b w:val="0"/>
          <w:color w:val="auto"/>
          <w:highlight w:val="none"/>
        </w:rPr>
        <w:t>二、收</w:t>
      </w:r>
      <w:r>
        <w:rPr>
          <w:rStyle w:val="28"/>
          <w:rFonts w:hint="default" w:ascii="Times New Roman" w:hAnsi="Times New Roman" w:eastAsia="仿宋" w:cs="Times New Roman"/>
          <w:b w:val="0"/>
          <w:bCs w:val="0"/>
          <w:color w:val="auto"/>
          <w:highlight w:val="none"/>
        </w:rPr>
        <w:t>入决算表</w:t>
      </w:r>
      <w:bookmarkEnd w:id="55"/>
    </w:p>
    <w:p>
      <w:pPr>
        <w:pStyle w:val="5"/>
        <w:rPr>
          <w:rFonts w:hint="default" w:ascii="Times New Roman" w:hAnsi="Times New Roman" w:eastAsia="仿宋" w:cs="Times New Roman"/>
          <w:color w:val="auto"/>
          <w:highlight w:val="none"/>
        </w:rPr>
      </w:pPr>
      <w:bookmarkStart w:id="56" w:name="_Toc15396621"/>
      <w:r>
        <w:rPr>
          <w:rStyle w:val="28"/>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8"/>
          <w:rFonts w:hint="default" w:ascii="Times New Roman" w:hAnsi="Times New Roman" w:eastAsia="仿宋" w:cs="Times New Roman"/>
          <w:b w:val="0"/>
          <w:bCs w:val="0"/>
          <w:color w:val="auto"/>
          <w:highlight w:val="none"/>
        </w:rPr>
        <w:t>出决算表</w:t>
      </w:r>
      <w:bookmarkEnd w:id="56"/>
    </w:p>
    <w:p>
      <w:pPr>
        <w:pStyle w:val="5"/>
        <w:rPr>
          <w:rFonts w:hint="default" w:ascii="Times New Roman" w:hAnsi="Times New Roman" w:eastAsia="仿宋" w:cs="Times New Roman"/>
          <w:b w:val="0"/>
          <w:color w:val="auto"/>
          <w:highlight w:val="none"/>
        </w:rPr>
      </w:pPr>
      <w:bookmarkStart w:id="57" w:name="_Toc15396622"/>
      <w:r>
        <w:rPr>
          <w:rStyle w:val="28"/>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8"/>
          <w:rFonts w:hint="default" w:ascii="Times New Roman" w:hAnsi="Times New Roman" w:eastAsia="仿宋" w:cs="Times New Roman"/>
          <w:b w:val="0"/>
          <w:bCs w:val="0"/>
          <w:color w:val="auto"/>
          <w:highlight w:val="none"/>
        </w:rPr>
        <w:t>政拨款收入支出决算总表</w:t>
      </w:r>
      <w:bookmarkEnd w:id="57"/>
    </w:p>
    <w:p>
      <w:pPr>
        <w:pStyle w:val="5"/>
        <w:rPr>
          <w:rStyle w:val="28"/>
          <w:rFonts w:hint="default" w:ascii="Times New Roman" w:hAnsi="Times New Roman" w:eastAsia="仿宋" w:cs="Times New Roman"/>
          <w:b w:val="0"/>
          <w:bCs w:val="0"/>
          <w:color w:val="auto"/>
          <w:highlight w:val="none"/>
        </w:rPr>
      </w:pPr>
      <w:bookmarkStart w:id="58" w:name="_Toc15396623"/>
      <w:r>
        <w:rPr>
          <w:rStyle w:val="28"/>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8"/>
          <w:rFonts w:hint="default" w:ascii="Times New Roman" w:hAnsi="Times New Roman" w:eastAsia="仿宋" w:cs="Times New Roman"/>
          <w:b w:val="0"/>
          <w:bCs w:val="0"/>
          <w:color w:val="auto"/>
          <w:highlight w:val="none"/>
        </w:rPr>
        <w:t>政拨款支出决算明细表</w:t>
      </w:r>
      <w:bookmarkEnd w:id="58"/>
      <w:bookmarkStart w:id="59" w:name="_Toc15396624"/>
    </w:p>
    <w:p>
      <w:pPr>
        <w:pStyle w:val="5"/>
        <w:rPr>
          <w:rFonts w:hint="default" w:ascii="Times New Roman" w:hAnsi="Times New Roman" w:eastAsia="仿宋" w:cs="Times New Roman"/>
          <w:color w:val="auto"/>
          <w:highlight w:val="none"/>
        </w:rPr>
      </w:pPr>
      <w:r>
        <w:rPr>
          <w:rStyle w:val="28"/>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8"/>
          <w:rFonts w:hint="default" w:ascii="Times New Roman" w:hAnsi="Times New Roman" w:eastAsia="仿宋" w:cs="Times New Roman"/>
          <w:b w:val="0"/>
          <w:bCs w:val="0"/>
          <w:color w:val="auto"/>
          <w:highlight w:val="none"/>
        </w:rPr>
        <w:t>般公共预算财政拨款支出决算表</w:t>
      </w:r>
      <w:bookmarkEnd w:id="59"/>
    </w:p>
    <w:p>
      <w:pPr>
        <w:pStyle w:val="5"/>
        <w:rPr>
          <w:rFonts w:hint="default" w:ascii="Times New Roman" w:hAnsi="Times New Roman" w:eastAsia="仿宋" w:cs="Times New Roman"/>
          <w:color w:val="auto"/>
          <w:highlight w:val="none"/>
        </w:rPr>
      </w:pPr>
      <w:bookmarkStart w:id="60" w:name="_Toc15396625"/>
      <w:r>
        <w:rPr>
          <w:rStyle w:val="28"/>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8"/>
          <w:rFonts w:hint="default" w:ascii="Times New Roman" w:hAnsi="Times New Roman" w:eastAsia="仿宋" w:cs="Times New Roman"/>
          <w:b w:val="0"/>
          <w:bCs w:val="0"/>
          <w:color w:val="auto"/>
          <w:highlight w:val="none"/>
        </w:rPr>
        <w:t>般公共预算财政拨款支出决算明细表</w:t>
      </w:r>
      <w:bookmarkEnd w:id="60"/>
    </w:p>
    <w:p>
      <w:pPr>
        <w:pStyle w:val="5"/>
        <w:rPr>
          <w:rFonts w:hint="default" w:ascii="Times New Roman" w:hAnsi="Times New Roman" w:eastAsia="仿宋" w:cs="Times New Roman"/>
          <w:color w:val="auto"/>
          <w:highlight w:val="none"/>
        </w:rPr>
      </w:pPr>
      <w:bookmarkStart w:id="61" w:name="_Toc15396626"/>
      <w:r>
        <w:rPr>
          <w:rStyle w:val="28"/>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8"/>
          <w:rFonts w:hint="default" w:ascii="Times New Roman" w:hAnsi="Times New Roman" w:eastAsia="仿宋" w:cs="Times New Roman"/>
          <w:b w:val="0"/>
          <w:bCs w:val="0"/>
          <w:color w:val="auto"/>
          <w:highlight w:val="none"/>
        </w:rPr>
        <w:t>般公共预算财政拨款基本支出决算表</w:t>
      </w:r>
      <w:bookmarkEnd w:id="61"/>
    </w:p>
    <w:p>
      <w:pPr>
        <w:pStyle w:val="5"/>
        <w:rPr>
          <w:rFonts w:hint="default" w:ascii="Times New Roman" w:hAnsi="Times New Roman" w:eastAsia="仿宋" w:cs="Times New Roman"/>
          <w:color w:val="auto"/>
          <w:highlight w:val="none"/>
        </w:rPr>
      </w:pPr>
      <w:bookmarkStart w:id="62" w:name="_Toc15396627"/>
      <w:r>
        <w:rPr>
          <w:rStyle w:val="28"/>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8"/>
          <w:rFonts w:hint="default" w:ascii="Times New Roman" w:hAnsi="Times New Roman" w:eastAsia="仿宋" w:cs="Times New Roman"/>
          <w:b w:val="0"/>
          <w:bCs w:val="0"/>
          <w:color w:val="auto"/>
          <w:highlight w:val="none"/>
        </w:rPr>
        <w:t>般公共预算财政拨款项目支出决算表</w:t>
      </w:r>
      <w:bookmarkEnd w:id="62"/>
    </w:p>
    <w:p>
      <w:pPr>
        <w:pStyle w:val="5"/>
        <w:rPr>
          <w:rFonts w:hint="default" w:ascii="Times New Roman" w:hAnsi="Times New Roman" w:eastAsia="仿宋" w:cs="Times New Roman"/>
          <w:color w:val="auto"/>
          <w:highlight w:val="none"/>
        </w:rPr>
      </w:pPr>
      <w:bookmarkStart w:id="63" w:name="_Toc15396628"/>
      <w:r>
        <w:rPr>
          <w:rStyle w:val="28"/>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28"/>
          <w:rFonts w:hint="default" w:ascii="Times New Roman" w:hAnsi="Times New Roman" w:eastAsia="仿宋" w:cs="Times New Roman"/>
          <w:b w:val="0"/>
          <w:bCs w:val="0"/>
          <w:color w:val="auto"/>
          <w:highlight w:val="none"/>
        </w:rPr>
        <w:t>般公共预算财政拨款“三公”经费支出决算表</w:t>
      </w:r>
      <w:bookmarkEnd w:id="63"/>
    </w:p>
    <w:p>
      <w:pPr>
        <w:pStyle w:val="5"/>
        <w:rPr>
          <w:rFonts w:hint="default" w:ascii="Times New Roman" w:hAnsi="Times New Roman" w:eastAsia="仿宋" w:cs="Times New Roman"/>
          <w:color w:val="auto"/>
          <w:highlight w:val="none"/>
        </w:rPr>
      </w:pPr>
      <w:bookmarkStart w:id="64" w:name="_Toc15396629"/>
      <w:r>
        <w:rPr>
          <w:rStyle w:val="28"/>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28"/>
          <w:rFonts w:hint="default" w:ascii="Times New Roman" w:hAnsi="Times New Roman" w:eastAsia="仿宋" w:cs="Times New Roman"/>
          <w:b w:val="0"/>
          <w:bCs w:val="0"/>
          <w:color w:val="auto"/>
          <w:highlight w:val="none"/>
        </w:rPr>
        <w:t>府性基金预算财政拨款收入支出决算表</w:t>
      </w:r>
      <w:bookmarkEnd w:id="64"/>
    </w:p>
    <w:p>
      <w:pPr>
        <w:pStyle w:val="5"/>
        <w:rPr>
          <w:rFonts w:hint="default" w:ascii="Times New Roman" w:hAnsi="Times New Roman" w:eastAsia="仿宋" w:cs="Times New Roman"/>
          <w:color w:val="auto"/>
          <w:highlight w:val="none"/>
        </w:rPr>
      </w:pPr>
      <w:bookmarkStart w:id="65" w:name="_Toc15396630"/>
      <w:r>
        <w:rPr>
          <w:rStyle w:val="28"/>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28"/>
          <w:rFonts w:hint="default" w:ascii="Times New Roman" w:hAnsi="Times New Roman" w:eastAsia="仿宋" w:cs="Times New Roman"/>
          <w:b w:val="0"/>
          <w:bCs w:val="0"/>
          <w:color w:val="auto"/>
          <w:highlight w:val="none"/>
        </w:rPr>
        <w:t>府性基金预算财政拨款“三公”经费支出决算表</w:t>
      </w:r>
      <w:bookmarkEnd w:id="65"/>
    </w:p>
    <w:p>
      <w:pPr>
        <w:pStyle w:val="5"/>
        <w:rPr>
          <w:rStyle w:val="28"/>
          <w:rFonts w:hint="default" w:ascii="Times New Roman" w:hAnsi="Times New Roman" w:eastAsia="仿宋" w:cs="Times New Roman"/>
          <w:b w:val="0"/>
          <w:bCs w:val="0"/>
          <w:color w:val="auto"/>
          <w:highlight w:val="none"/>
        </w:rPr>
      </w:pPr>
      <w:bookmarkStart w:id="66" w:name="_Toc15396631"/>
      <w:r>
        <w:rPr>
          <w:rStyle w:val="28"/>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28"/>
          <w:rFonts w:hint="default" w:ascii="Times New Roman" w:hAnsi="Times New Roman" w:eastAsia="仿宋" w:cs="Times New Roman"/>
          <w:b w:val="0"/>
          <w:bCs w:val="0"/>
          <w:color w:val="auto"/>
          <w:highlight w:val="none"/>
        </w:rPr>
        <w:t>有资本经营预算</w:t>
      </w:r>
      <w:r>
        <w:rPr>
          <w:rStyle w:val="28"/>
          <w:rFonts w:hint="default" w:ascii="Times New Roman" w:hAnsi="Times New Roman" w:eastAsia="仿宋" w:cs="Times New Roman"/>
          <w:b w:val="0"/>
          <w:bCs w:val="0"/>
          <w:color w:val="auto"/>
          <w:highlight w:val="none"/>
          <w:lang w:eastAsia="zh-CN"/>
        </w:rPr>
        <w:t>财政拨款收入</w:t>
      </w:r>
      <w:r>
        <w:rPr>
          <w:rStyle w:val="28"/>
          <w:rFonts w:hint="default" w:ascii="Times New Roman" w:hAnsi="Times New Roman" w:eastAsia="仿宋" w:cs="Times New Roman"/>
          <w:b w:val="0"/>
          <w:bCs w:val="0"/>
          <w:color w:val="auto"/>
          <w:highlight w:val="none"/>
        </w:rPr>
        <w:t>支出决算表</w:t>
      </w:r>
      <w:bookmarkEnd w:id="66"/>
    </w:p>
    <w:p>
      <w:pPr>
        <w:rPr>
          <w:rFonts w:hint="default" w:ascii="Times New Roman" w:hAnsi="Times New Roman" w:eastAsia="仿宋" w:cs="Times New Roman"/>
          <w:color w:val="auto"/>
          <w:highlight w:val="none"/>
          <w:lang w:eastAsia="zh-CN"/>
        </w:rPr>
      </w:pPr>
      <w:r>
        <w:rPr>
          <w:rStyle w:val="28"/>
          <w:rFonts w:hint="default" w:ascii="Times New Roman" w:hAnsi="Times New Roman" w:eastAsia="仿宋" w:cs="Times New Roman"/>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JP Bold">
    <w:altName w:val="宋体"/>
    <w:panose1 w:val="020B0800000000000000"/>
    <w:charset w:val="86"/>
    <w:family w:val="auto"/>
    <w:pitch w:val="default"/>
    <w:sig w:usb0="00000000" w:usb1="00000000" w:usb2="00000016" w:usb3="00000000" w:csb0="602E0107"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316F72E"/>
    <w:multiLevelType w:val="singleLevel"/>
    <w:tmpl w:val="6316F72E"/>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5E7B"/>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103F8"/>
    <w:rsid w:val="08876033"/>
    <w:rsid w:val="0A2032A3"/>
    <w:rsid w:val="0B8A37D8"/>
    <w:rsid w:val="10136CB0"/>
    <w:rsid w:val="10C055FF"/>
    <w:rsid w:val="118107EC"/>
    <w:rsid w:val="11DD6519"/>
    <w:rsid w:val="128704E8"/>
    <w:rsid w:val="16680D62"/>
    <w:rsid w:val="166C38FC"/>
    <w:rsid w:val="16BB723D"/>
    <w:rsid w:val="18015F3F"/>
    <w:rsid w:val="1B9A2A0D"/>
    <w:rsid w:val="1BE8440E"/>
    <w:rsid w:val="1C214831"/>
    <w:rsid w:val="1D155CEE"/>
    <w:rsid w:val="1E1C40ED"/>
    <w:rsid w:val="203C1024"/>
    <w:rsid w:val="20F57F95"/>
    <w:rsid w:val="240371BF"/>
    <w:rsid w:val="25C741E6"/>
    <w:rsid w:val="27842671"/>
    <w:rsid w:val="29FD04D3"/>
    <w:rsid w:val="2A506F64"/>
    <w:rsid w:val="2A554B57"/>
    <w:rsid w:val="2A65103D"/>
    <w:rsid w:val="2ABE7A3E"/>
    <w:rsid w:val="2AE92AD9"/>
    <w:rsid w:val="2BED03CB"/>
    <w:rsid w:val="2C672569"/>
    <w:rsid w:val="2EFA178C"/>
    <w:rsid w:val="2F583C98"/>
    <w:rsid w:val="301738D0"/>
    <w:rsid w:val="30B46D73"/>
    <w:rsid w:val="319F7F4E"/>
    <w:rsid w:val="387041FB"/>
    <w:rsid w:val="39AE70AB"/>
    <w:rsid w:val="39B92B9D"/>
    <w:rsid w:val="3B4B1419"/>
    <w:rsid w:val="3C0C0783"/>
    <w:rsid w:val="3F9F3A96"/>
    <w:rsid w:val="3FE4221E"/>
    <w:rsid w:val="42405AC4"/>
    <w:rsid w:val="424259EC"/>
    <w:rsid w:val="42CD798F"/>
    <w:rsid w:val="44BD579D"/>
    <w:rsid w:val="47920119"/>
    <w:rsid w:val="48D975E6"/>
    <w:rsid w:val="493C27E9"/>
    <w:rsid w:val="49631191"/>
    <w:rsid w:val="496F39ED"/>
    <w:rsid w:val="49FF41D3"/>
    <w:rsid w:val="4A3C3A0C"/>
    <w:rsid w:val="4A910002"/>
    <w:rsid w:val="4B797917"/>
    <w:rsid w:val="4B9B0D26"/>
    <w:rsid w:val="4BE068DB"/>
    <w:rsid w:val="4BF6002B"/>
    <w:rsid w:val="4C9E7B9B"/>
    <w:rsid w:val="4ECE2238"/>
    <w:rsid w:val="518B0455"/>
    <w:rsid w:val="51DB4B86"/>
    <w:rsid w:val="524224A8"/>
    <w:rsid w:val="53505D97"/>
    <w:rsid w:val="54973E5C"/>
    <w:rsid w:val="55333C3E"/>
    <w:rsid w:val="564E5B33"/>
    <w:rsid w:val="565F2F66"/>
    <w:rsid w:val="573F4960"/>
    <w:rsid w:val="59844F56"/>
    <w:rsid w:val="5B292906"/>
    <w:rsid w:val="5C4520E8"/>
    <w:rsid w:val="60E77BC3"/>
    <w:rsid w:val="64CA39A1"/>
    <w:rsid w:val="65F522B9"/>
    <w:rsid w:val="66FA3E01"/>
    <w:rsid w:val="677A3E00"/>
    <w:rsid w:val="67FB7B80"/>
    <w:rsid w:val="68ED7A12"/>
    <w:rsid w:val="6C4A05C8"/>
    <w:rsid w:val="6FEE33D7"/>
    <w:rsid w:val="70B11DB5"/>
    <w:rsid w:val="72734D90"/>
    <w:rsid w:val="780051A1"/>
    <w:rsid w:val="79E7B28D"/>
    <w:rsid w:val="7A0C7DA4"/>
    <w:rsid w:val="7F120B69"/>
    <w:rsid w:val="7F9F20EE"/>
    <w:rsid w:val="7FFE474C"/>
    <w:rsid w:val="976430C4"/>
    <w:rsid w:val="9E3A10E2"/>
    <w:rsid w:val="BDFF598A"/>
    <w:rsid w:val="EFE8BA55"/>
    <w:rsid w:val="F2E1F9D4"/>
    <w:rsid w:val="F7880819"/>
    <w:rsid w:val="F79E8D74"/>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style>
  <w:style w:type="paragraph" w:styleId="3">
    <w:name w:val="Body Text Indent"/>
    <w:basedOn w:val="1"/>
    <w:unhideWhenUsed/>
    <w:uiPriority w:val="99"/>
    <w:pPr>
      <w:ind w:firstLine="630"/>
    </w:pPr>
    <w:rPr>
      <w:rFonts w:eastAsia="仿宋_GB2312"/>
      <w:sz w:val="32"/>
    </w:rPr>
  </w:style>
  <w:style w:type="paragraph" w:styleId="7">
    <w:name w:val="Body Text"/>
    <w:basedOn w:val="1"/>
    <w:next w:val="8"/>
    <w:link w:val="24"/>
    <w:qFormat/>
    <w:uiPriority w:val="99"/>
    <w:pPr>
      <w:spacing w:beforeLines="30"/>
    </w:pPr>
    <w:rPr>
      <w:rFonts w:ascii="仿宋_GB2312" w:eastAsia="仿宋_GB2312"/>
      <w:kern w:val="0"/>
      <w:sz w:val="30"/>
    </w:rPr>
  </w:style>
  <w:style w:type="paragraph" w:styleId="8">
    <w:name w:val="Title"/>
    <w:basedOn w:val="1"/>
    <w:next w:val="1"/>
    <w:qFormat/>
    <w:uiPriority w:val="10"/>
    <w:pPr>
      <w:jc w:val="center"/>
      <w:outlineLvl w:val="0"/>
    </w:pPr>
    <w:rPr>
      <w:rFonts w:ascii="Cambria" w:hAnsi="Cambria" w:eastAsia="仿宋"/>
      <w:b/>
      <w:bCs/>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0"/>
    <w:unhideWhenUsed/>
    <w:qFormat/>
    <w:uiPriority w:val="99"/>
    <w:rPr>
      <w:sz w:val="18"/>
      <w:szCs w:val="18"/>
    </w:rPr>
  </w:style>
  <w:style w:type="paragraph" w:styleId="11">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2"/>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11"/>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List Paragraph"/>
    <w:basedOn w:val="1"/>
    <w:qFormat/>
    <w:uiPriority w:val="34"/>
    <w:pPr>
      <w:ind w:firstLine="420" w:firstLineChars="200"/>
    </w:pPr>
  </w:style>
  <w:style w:type="character" w:customStyle="1" w:styleId="27">
    <w:name w:val="标题 1 Char"/>
    <w:basedOn w:val="15"/>
    <w:link w:val="4"/>
    <w:qFormat/>
    <w:uiPriority w:val="9"/>
    <w:rPr>
      <w:rFonts w:ascii="Times New Roman" w:hAnsi="Times New Roman"/>
      <w:b/>
      <w:bCs/>
      <w:kern w:val="44"/>
      <w:sz w:val="44"/>
      <w:szCs w:val="44"/>
    </w:rPr>
  </w:style>
  <w:style w:type="character" w:customStyle="1" w:styleId="28">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10"/>
    <w:semiHidden/>
    <w:qFormat/>
    <w:uiPriority w:val="99"/>
    <w:rPr>
      <w:rFonts w:ascii="Times New Roman" w:hAnsi="Times New Roman"/>
      <w:kern w:val="2"/>
      <w:sz w:val="18"/>
      <w:szCs w:val="18"/>
    </w:rPr>
  </w:style>
  <w:style w:type="character" w:customStyle="1" w:styleId="31">
    <w:name w:val="标题 3 Char"/>
    <w:basedOn w:val="15"/>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标题 2 字符"/>
    <w:basedOn w:val="15"/>
    <w:link w:val="5"/>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delete val="1"/>
          </c:dLbls>
          <c:cat>
            <c:numRef>
              <c:f>Sheet1!#REF!</c:f>
              <c:numCache>
                <c:ptCount val="0"/>
              </c:numCache>
            </c:numRef>
          </c:cat>
          <c:val>
            <c:numRef>
              <c:f>Sheet1!$A$3</c:f>
              <c:numCache>
                <c:formatCode>General</c:formatCode>
                <c:ptCount val="1"/>
                <c:pt idx="0" c:formatCode="General">
                  <c:v>928.15</c:v>
                </c:pt>
              </c:numCache>
            </c:numRef>
          </c:val>
        </c:ser>
        <c:ser>
          <c:idx val="1"/>
          <c:order val="1"/>
          <c:tx>
            <c:strRef>
              <c:f>Sheet1!$B$2</c:f>
              <c:strCache>
                <c:ptCount val="1"/>
                <c:pt idx="0">
                  <c:v>2021</c:v>
                </c:pt>
              </c:strCache>
            </c:strRef>
          </c:tx>
          <c:spPr>
            <a:solidFill>
              <a:schemeClr val="accent2"/>
            </a:solidFill>
            <a:ln>
              <a:noFill/>
            </a:ln>
            <a:effectLst/>
          </c:spPr>
          <c:invertIfNegative val="0"/>
          <c:dLbls>
            <c:delete val="1"/>
          </c:dLbls>
          <c:cat>
            <c:numRef>
              <c:f>Sheet1!#REF!</c:f>
              <c:numCache>
                <c:ptCount val="0"/>
              </c:numCache>
            </c:numRef>
          </c:cat>
          <c:val>
            <c:numRef>
              <c:f>Sheet1!$B$3</c:f>
              <c:numCache>
                <c:formatCode>General</c:formatCode>
                <c:ptCount val="1"/>
                <c:pt idx="0" c:formatCode="General">
                  <c:v>1286.96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Sheet1!#REF!</c:f>
              <c:numCache>
                <c:ptCount val="0"/>
              </c:numCache>
            </c:numRef>
          </c:cat>
          <c:val>
            <c:numRef>
              <c:f>Sheet1!#REF!</c:f>
              <c:numCache>
                <c:formatCode>General</c:formatCode>
                <c:ptCount val="1"/>
                <c:pt idx="0" c:formatCode="General">
                  <c:v>1</c:v>
                </c:pt>
              </c:numCache>
            </c:numRef>
          </c:val>
        </c:ser>
        <c:dLbls>
          <c:showLegendKey val="0"/>
          <c:showVal val="0"/>
          <c:showCatName val="0"/>
          <c:showSerName val="0"/>
          <c:showPercent val="0"/>
          <c:showBubbleSize val="0"/>
        </c:dLbls>
        <c:gapWidth val="219"/>
        <c:overlap val="-27"/>
        <c:axId val="340699979"/>
        <c:axId val="130524643"/>
      </c:barChart>
      <c:catAx>
        <c:axId val="3406999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524643"/>
        <c:crosses val="autoZero"/>
        <c:auto val="1"/>
        <c:lblAlgn val="ctr"/>
        <c:lblOffset val="100"/>
        <c:noMultiLvlLbl val="0"/>
      </c:catAx>
      <c:valAx>
        <c:axId val="1305246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6999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4355"/>
          <c:y val="0.0216666666666667"/>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收入决算结构图
</c:v>
                </c:pt>
              </c:strCache>
            </c:strRef>
          </c:cat>
          <c:val>
            <c:numRef>
              <c:f>Sheet1!$B$2</c:f>
              <c:numCache>
                <c:formatCode>General</c:formatCode>
                <c:ptCount val="1"/>
                <c:pt idx="0" c:formatCode="General">
                  <c:v>8.2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7</a:t>
                    </a:r>
                    <a:r>
                      <a:rPr lang="en-US" altLang="zh-CN"/>
                      <a:t>3.99</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26</a:t>
                    </a:r>
                    <a:r>
                      <a:rPr lang="en-US" altLang="zh-CN"/>
                      <a:t>.01</a:t>
                    </a:r>
                    <a:r>
                      <a:t>%</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formatCode="General">
                  <c:v>952.19</c:v>
                </c:pt>
                <c:pt idx="1" c:formatCode="General">
                  <c:v>334.77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delete val="1"/>
          </c:dLbls>
          <c:cat>
            <c:numRef>
              <c:f>Sheet1!#REF!</c:f>
              <c:numCache>
                <c:ptCount val="0"/>
              </c:numCache>
            </c:numRef>
          </c:cat>
          <c:val>
            <c:numRef>
              <c:f>Sheet1!$A$3</c:f>
              <c:numCache>
                <c:formatCode>General</c:formatCode>
                <c:ptCount val="1"/>
                <c:pt idx="0" c:formatCode="General">
                  <c:v>928.15</c:v>
                </c:pt>
              </c:numCache>
            </c:numRef>
          </c:val>
        </c:ser>
        <c:ser>
          <c:idx val="1"/>
          <c:order val="1"/>
          <c:tx>
            <c:strRef>
              <c:f>Sheet1!$B$2</c:f>
              <c:strCache>
                <c:ptCount val="1"/>
                <c:pt idx="0">
                  <c:v>2021</c:v>
                </c:pt>
              </c:strCache>
            </c:strRef>
          </c:tx>
          <c:spPr>
            <a:solidFill>
              <a:schemeClr val="accent2"/>
            </a:solidFill>
            <a:ln>
              <a:noFill/>
            </a:ln>
            <a:effectLst/>
          </c:spPr>
          <c:invertIfNegative val="0"/>
          <c:dLbls>
            <c:delete val="1"/>
          </c:dLbls>
          <c:cat>
            <c:numRef>
              <c:f>Sheet1!#REF!</c:f>
              <c:numCache>
                <c:ptCount val="0"/>
              </c:numCache>
            </c:numRef>
          </c:cat>
          <c:val>
            <c:numRef>
              <c:f>Sheet1!$B$3</c:f>
              <c:numCache>
                <c:formatCode>General</c:formatCode>
                <c:ptCount val="1"/>
                <c:pt idx="0" c:formatCode="General">
                  <c:v>1286.96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Sheet1!#REF!</c:f>
              <c:numCache>
                <c:ptCount val="0"/>
              </c:numCache>
            </c:numRef>
          </c:cat>
          <c:val>
            <c:numRef>
              <c:f>Sheet1!#REF!</c:f>
              <c:numCache>
                <c:formatCode>General</c:formatCode>
                <c:ptCount val="1"/>
                <c:pt idx="0" c:formatCode="General">
                  <c:v>1</c:v>
                </c:pt>
              </c:numCache>
            </c:numRef>
          </c:val>
        </c:ser>
        <c:dLbls>
          <c:showLegendKey val="0"/>
          <c:showVal val="0"/>
          <c:showCatName val="0"/>
          <c:showSerName val="0"/>
          <c:showPercent val="0"/>
          <c:showBubbleSize val="0"/>
        </c:dLbls>
        <c:gapWidth val="219"/>
        <c:overlap val="-27"/>
        <c:axId val="340699979"/>
        <c:axId val="130524643"/>
      </c:barChart>
      <c:catAx>
        <c:axId val="3406999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524643"/>
        <c:crosses val="autoZero"/>
        <c:auto val="1"/>
        <c:lblAlgn val="ctr"/>
        <c:lblOffset val="100"/>
        <c:noMultiLvlLbl val="0"/>
      </c:catAx>
      <c:valAx>
        <c:axId val="1305246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6999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254385964912281"/>
          <c:y val="0.0183208822483102"/>
        </c:manualLayout>
      </c:layout>
      <c:overlay val="0"/>
      <c:spPr>
        <a:noFill/>
        <a:ln>
          <a:noFill/>
        </a:ln>
        <a:effectLst/>
      </c:spPr>
    </c:title>
    <c:autoTitleDeleted val="0"/>
    <c:plotArea>
      <c:layout/>
      <c:barChart>
        <c:barDir val="col"/>
        <c:grouping val="clustered"/>
        <c:varyColors val="0"/>
        <c:ser>
          <c:idx val="0"/>
          <c:order val="0"/>
          <c:tx>
            <c:strRef>
              <c:f>Sheet1!$A$2</c:f>
              <c:strCache>
                <c:ptCount val="1"/>
                <c:pt idx="0">
                  <c:v>2020</c:v>
                </c:pt>
              </c:strCache>
            </c:strRef>
          </c:tx>
          <c:spPr>
            <a:solidFill>
              <a:schemeClr val="accent1"/>
            </a:solidFill>
            <a:ln>
              <a:noFill/>
            </a:ln>
            <a:effectLst/>
          </c:spPr>
          <c:invertIfNegative val="0"/>
          <c:dLbls>
            <c:delete val="1"/>
          </c:dLbls>
          <c:cat>
            <c:numRef>
              <c:f>Sheet1!#REF!</c:f>
              <c:numCache>
                <c:ptCount val="0"/>
              </c:numCache>
            </c:numRef>
          </c:cat>
          <c:val>
            <c:numRef>
              <c:f>Sheet1!$A$3</c:f>
              <c:numCache>
                <c:formatCode>General</c:formatCode>
                <c:ptCount val="1"/>
                <c:pt idx="0" c:formatCode="General">
                  <c:v>928.15</c:v>
                </c:pt>
              </c:numCache>
            </c:numRef>
          </c:val>
        </c:ser>
        <c:ser>
          <c:idx val="1"/>
          <c:order val="1"/>
          <c:tx>
            <c:strRef>
              <c:f>Sheet1!$B$2</c:f>
              <c:strCache>
                <c:ptCount val="1"/>
                <c:pt idx="0">
                  <c:v>2021</c:v>
                </c:pt>
              </c:strCache>
            </c:strRef>
          </c:tx>
          <c:spPr>
            <a:solidFill>
              <a:schemeClr val="accent2"/>
            </a:solidFill>
            <a:ln>
              <a:noFill/>
            </a:ln>
            <a:effectLst/>
          </c:spPr>
          <c:invertIfNegative val="0"/>
          <c:dLbls>
            <c:delete val="1"/>
          </c:dLbls>
          <c:cat>
            <c:numRef>
              <c:f>Sheet1!#REF!</c:f>
              <c:numCache>
                <c:ptCount val="0"/>
              </c:numCache>
            </c:numRef>
          </c:cat>
          <c:val>
            <c:numRef>
              <c:f>Sheet1!$B$3</c:f>
              <c:numCache>
                <c:formatCode>General</c:formatCode>
                <c:ptCount val="1"/>
                <c:pt idx="0" c:formatCode="General">
                  <c:v>1286.96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Sheet1!#REF!</c:f>
              <c:numCache>
                <c:ptCount val="0"/>
              </c:numCache>
            </c:numRef>
          </c:cat>
          <c:val>
            <c:numRef>
              <c:f>Sheet1!#REF!</c:f>
              <c:numCache>
                <c:formatCode>General</c:formatCode>
                <c:ptCount val="1"/>
                <c:pt idx="0" c:formatCode="General">
                  <c:v>1</c:v>
                </c:pt>
              </c:numCache>
            </c:numRef>
          </c:val>
        </c:ser>
        <c:dLbls>
          <c:showLegendKey val="0"/>
          <c:showVal val="0"/>
          <c:showCatName val="0"/>
          <c:showSerName val="0"/>
          <c:showPercent val="0"/>
          <c:showBubbleSize val="0"/>
        </c:dLbls>
        <c:gapWidth val="219"/>
        <c:overlap val="-27"/>
        <c:axId val="340699979"/>
        <c:axId val="130524643"/>
      </c:barChart>
      <c:catAx>
        <c:axId val="34069997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524643"/>
        <c:crosses val="autoZero"/>
        <c:auto val="1"/>
        <c:lblAlgn val="ctr"/>
        <c:lblOffset val="100"/>
        <c:noMultiLvlLbl val="0"/>
      </c:catAx>
      <c:valAx>
        <c:axId val="1305246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6999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17"/>
          <c:y val="0.0352720450281426"/>
        </c:manualLayout>
      </c:layout>
      <c:overlay val="0"/>
      <c:spPr>
        <a:noFill/>
        <a:ln>
          <a:noFill/>
        </a:ln>
        <a:effectLst/>
      </c:spPr>
    </c:title>
    <c:autoTitleDeleted val="0"/>
    <c:plotArea>
      <c:layout/>
      <c:pieChart>
        <c:varyColors val="1"/>
        <c:ser>
          <c:idx val="0"/>
          <c:order val="0"/>
          <c:tx>
            <c:strRef>
              <c:f>Sheet1!$A$2</c:f>
              <c:strCache>
                <c:ptCount val="1"/>
                <c:pt idx="0">
                  <c:v>一般公共服务支出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a:t>
                    </a:r>
                    <a:r>
                      <a:rPr lang="en-US" altLang="zh-CN"/>
                      <a:t>1.71</a:t>
                    </a:r>
                    <a:r>
                      <a:t>%</a:t>
                    </a:r>
                  </a:p>
                </c:rich>
              </c:tx>
              <c:dLblPos val="bestFit"/>
              <c:showLegendKey val="1"/>
              <c:showVal val="0"/>
              <c:showCatName val="0"/>
              <c:showSerName val="0"/>
              <c:showPercent val="1"/>
              <c:showBubbleSize val="0"/>
              <c:extLst>
                <c:ext xmlns:c15="http://schemas.microsoft.com/office/drawing/2012/chart" uri="{CE6537A1-D6FC-4f65-9D91-7224C49458BB}"/>
              </c:extLst>
            </c:dLbl>
            <c:dLbl>
              <c:idx val="1"/>
              <c:layout>
                <c:manualLayout>
                  <c:x val="-0.00821422808895747"/>
                  <c:y val="0.010728117543595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a:t>
                    </a:r>
                    <a:r>
                      <a:rPr lang="en-US" altLang="zh-CN"/>
                      <a:t>.01</a:t>
                    </a:r>
                    <a:r>
                      <a:t>%</a:t>
                    </a:r>
                  </a:p>
                </c:rich>
              </c:tx>
              <c:dLblPos val="bestFit"/>
              <c:showLegendKey val="1"/>
              <c:showVal val="0"/>
              <c:showCatName val="0"/>
              <c:showSerName val="0"/>
              <c:showPercent val="1"/>
              <c:showBubbleSize val="0"/>
              <c:extLst>
                <c:ext xmlns:c15="http://schemas.microsoft.com/office/drawing/2012/chart" uri="{CE6537A1-D6FC-4f65-9D91-7224C49458BB}">
                  <c15:layout>
                    <c:manualLayout>
                      <c:w val="0.118158"/>
                      <c:h val="0.0551594746716698"/>
                    </c:manualLayout>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.63</a:t>
                    </a:r>
                    <a:r>
                      <a:t>%</a:t>
                    </a:r>
                  </a:p>
                </c:rich>
              </c:tx>
              <c:dLblPos val="bestFit"/>
              <c:showLegendKey val="1"/>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2.65</a:t>
                    </a:r>
                    <a:r>
                      <a:t>%</a:t>
                    </a:r>
                  </a:p>
                </c:rich>
              </c:tx>
              <c:dLblPos val="bestFit"/>
              <c:showLegendKey val="1"/>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formatCode="General">
                  <c:v>1051.51</c:v>
                </c:pt>
                <c:pt idx="1" c:formatCode="General">
                  <c:v>51.66</c:v>
                </c:pt>
                <c:pt idx="2" c:formatCode="General">
                  <c:v>21</c:v>
                </c:pt>
                <c:pt idx="3" c:formatCode="General">
                  <c:v>162.78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dLblPos val="bestFit"/>
              <c:showLegendKey val="0"/>
              <c:showVal val="1"/>
              <c:showCatName val="0"/>
              <c:showSerName val="0"/>
              <c:showPercent val="1"/>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因公出国境经费</c:v>
                </c:pt>
                <c:pt idx="1">
                  <c:v>公务用车运行维护费</c:v>
                </c:pt>
                <c:pt idx="2">
                  <c:v>公务接待费</c:v>
                </c:pt>
              </c:strCache>
            </c:strRef>
          </c:cat>
          <c:val>
            <c:numRef>
              <c:f>Sheet1!$B$2:$B$4</c:f>
              <c:numCache>
                <c:formatCode>General</c:formatCode>
                <c:ptCount val="3"/>
                <c:pt idx="0" c:formatCode="General">
                  <c:v>0</c:v>
                </c:pt>
                <c:pt idx="1" c:formatCode="General">
                  <c:v>0</c:v>
                </c:pt>
                <c:pt idx="2" c:formatCode="General">
                  <c:v>17.63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lenovo</cp:lastModifiedBy>
  <cp:lastPrinted>2022-08-06T10:23:00Z</cp:lastPrinted>
  <dcterms:modified xsi:type="dcterms:W3CDTF">2022-11-14T07:38:23Z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