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96597"/>
      <w:bookmarkStart w:id="3" w:name="_Toc15377425"/>
      <w:bookmarkStart w:id="4" w:name="_Toc15378441"/>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426"/>
      <w:bookmarkStart w:id="7" w:name="_Toc15377194"/>
      <w:bookmarkStart w:id="8" w:name="_Toc15378442"/>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人民政府驻重庆</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办事处单位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pStyle w:val="10"/>
        <w:adjustRightInd w:val="0"/>
        <w:snapToGrid w:val="0"/>
        <w:spacing w:before="0" w:line="288" w:lineRule="auto"/>
        <w:jc w:val="left"/>
        <w:rPr>
          <w:rStyle w:val="15"/>
          <w:rFonts w:hint="eastAsia" w:ascii="仿宋" w:hAnsi="仿宋" w:eastAsia="仿宋" w:cs="仿宋"/>
          <w:color w:val="auto"/>
          <w:sz w:val="30"/>
          <w:szCs w:val="30"/>
          <w:u w:val="none"/>
        </w:rPr>
      </w:pPr>
      <w:r>
        <w:rPr>
          <w:rStyle w:val="15"/>
          <w:rFonts w:hint="eastAsia" w:ascii="仿宋" w:hAnsi="仿宋" w:eastAsia="仿宋" w:cs="仿宋"/>
          <w:color w:val="auto"/>
          <w:sz w:val="30"/>
          <w:szCs w:val="30"/>
          <w:u w:val="none"/>
        </w:rPr>
        <w:t xml:space="preserve">第一部分 </w:t>
      </w:r>
      <w:r>
        <w:rPr>
          <w:rStyle w:val="15"/>
          <w:rFonts w:hint="eastAsia" w:ascii="仿宋" w:hAnsi="仿宋" w:eastAsia="仿宋" w:cs="仿宋"/>
          <w:color w:val="auto"/>
          <w:sz w:val="30"/>
          <w:szCs w:val="30"/>
          <w:u w:val="none"/>
          <w:lang w:eastAsia="zh-CN"/>
        </w:rPr>
        <w:t>单位</w:t>
      </w:r>
      <w:r>
        <w:rPr>
          <w:rStyle w:val="15"/>
          <w:rFonts w:hint="eastAsia" w:ascii="仿宋" w:hAnsi="仿宋" w:eastAsia="仿宋" w:cs="仿宋"/>
          <w:color w:val="auto"/>
          <w:sz w:val="30"/>
          <w:szCs w:val="30"/>
          <w:u w:val="none"/>
        </w:rPr>
        <w:t>概况</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rPr>
        <w:t>一、职能</w:t>
      </w:r>
      <w:r>
        <w:rPr>
          <w:rStyle w:val="15"/>
          <w:rFonts w:hint="eastAsia" w:ascii="仿宋" w:hAnsi="仿宋" w:eastAsia="仿宋" w:cstheme="minorBidi"/>
          <w:color w:val="auto"/>
          <w:sz w:val="24"/>
          <w:szCs w:val="24"/>
          <w:u w:val="none"/>
          <w:lang w:eastAsia="zh-CN"/>
        </w:rPr>
        <w:t>简介</w:t>
      </w:r>
      <w:r>
        <w:rPr>
          <w:rStyle w:val="15"/>
          <w:rFonts w:ascii="仿宋" w:hAnsi="仿宋" w:eastAsia="仿宋" w:cstheme="minorBidi"/>
          <w:color w:val="auto"/>
          <w:sz w:val="24"/>
          <w:szCs w:val="24"/>
          <w:u w:val="none"/>
        </w:rPr>
        <w:tab/>
      </w:r>
      <w:r>
        <w:rPr>
          <w:rStyle w:val="15"/>
          <w:rFonts w:hint="eastAsia" w:ascii="仿宋" w:hAnsi="仿宋" w:eastAsia="仿宋" w:cstheme="minorBidi"/>
          <w:color w:val="auto"/>
          <w:sz w:val="24"/>
          <w:szCs w:val="24"/>
          <w:u w:val="none"/>
          <w:lang w:val="en-US" w:eastAsia="zh-CN"/>
        </w:rPr>
        <w:t>3</w:t>
      </w:r>
    </w:p>
    <w:p>
      <w:pPr>
        <w:pStyle w:val="11"/>
        <w:adjustRightInd w:val="0"/>
        <w:snapToGrid w:val="0"/>
        <w:spacing w:line="288" w:lineRule="auto"/>
        <w:rPr>
          <w:rStyle w:val="15"/>
          <w:rFonts w:hint="eastAsia" w:ascii="仿宋" w:hAnsi="仿宋" w:eastAsia="仿宋" w:cstheme="minorBidi"/>
          <w:color w:val="auto"/>
          <w:sz w:val="24"/>
          <w:szCs w:val="24"/>
          <w:u w:val="none"/>
          <w:lang w:val="en-US" w:eastAsia="zh-CN"/>
        </w:rPr>
      </w:pPr>
      <w:r>
        <w:rPr>
          <w:rStyle w:val="15"/>
          <w:rFonts w:hint="eastAsia" w:ascii="仿宋" w:hAnsi="仿宋" w:eastAsia="仿宋" w:cstheme="minorBidi"/>
          <w:color w:val="auto"/>
          <w:sz w:val="24"/>
          <w:szCs w:val="24"/>
          <w:u w:val="none"/>
          <w:lang w:eastAsia="zh-CN"/>
        </w:rPr>
        <w:t>二、</w:t>
      </w:r>
      <w:r>
        <w:rPr>
          <w:rStyle w:val="15"/>
          <w:rFonts w:hint="eastAsia" w:ascii="仿宋" w:hAnsi="仿宋" w:eastAsia="仿宋" w:cstheme="minorBidi"/>
          <w:color w:val="auto"/>
          <w:sz w:val="24"/>
          <w:szCs w:val="24"/>
          <w:u w:val="none"/>
          <w:lang w:val="en-US" w:eastAsia="zh-CN"/>
        </w:rPr>
        <w:t>2021年重点</w:t>
      </w:r>
      <w:r>
        <w:rPr>
          <w:rStyle w:val="15"/>
          <w:rFonts w:hint="eastAsia" w:ascii="仿宋" w:hAnsi="仿宋" w:eastAsia="仿宋" w:cstheme="minorBidi"/>
          <w:color w:val="auto"/>
          <w:sz w:val="24"/>
          <w:szCs w:val="24"/>
          <w:u w:val="none"/>
        </w:rPr>
        <w:t>工作</w:t>
      </w:r>
      <w:r>
        <w:rPr>
          <w:rStyle w:val="15"/>
          <w:rFonts w:hint="eastAsia" w:ascii="仿宋" w:hAnsi="仿宋" w:eastAsia="仿宋" w:cstheme="minorBidi"/>
          <w:color w:val="auto"/>
          <w:sz w:val="24"/>
          <w:szCs w:val="24"/>
          <w:u w:val="none"/>
          <w:lang w:eastAsia="zh-CN"/>
        </w:rPr>
        <w:t>完成情况</w:t>
      </w:r>
      <w:r>
        <w:rPr>
          <w:rStyle w:val="15"/>
          <w:rFonts w:ascii="仿宋" w:hAnsi="仿宋" w:eastAsia="仿宋" w:cstheme="minorBidi"/>
          <w:color w:val="auto"/>
          <w:sz w:val="24"/>
          <w:szCs w:val="24"/>
          <w:u w:val="none"/>
        </w:rPr>
        <w:tab/>
      </w:r>
      <w:r>
        <w:rPr>
          <w:rStyle w:val="15"/>
          <w:rFonts w:hint="eastAsia" w:ascii="仿宋" w:hAnsi="仿宋" w:eastAsia="仿宋" w:cstheme="minorBidi"/>
          <w:color w:val="auto"/>
          <w:sz w:val="24"/>
          <w:szCs w:val="24"/>
          <w:u w:val="none"/>
          <w:lang w:val="en-US" w:eastAsia="zh-CN"/>
        </w:rPr>
        <w:t>3</w:t>
      </w:r>
    </w:p>
    <w:p>
      <w:pPr>
        <w:pStyle w:val="11"/>
        <w:adjustRightInd w:val="0"/>
        <w:snapToGrid w:val="0"/>
        <w:spacing w:line="288" w:lineRule="auto"/>
        <w:rPr>
          <w:rStyle w:val="15"/>
          <w:rFonts w:hint="eastAsia" w:ascii="仿宋" w:hAnsi="仿宋" w:eastAsia="仿宋" w:cstheme="minorBidi"/>
          <w:color w:val="auto"/>
          <w:sz w:val="24"/>
          <w:szCs w:val="24"/>
          <w:u w:val="none"/>
          <w:lang w:val="en-US" w:eastAsia="zh-CN"/>
        </w:rPr>
      </w:pPr>
      <w:r>
        <w:rPr>
          <w:rStyle w:val="15"/>
          <w:rFonts w:hint="eastAsia" w:ascii="仿宋" w:hAnsi="仿宋" w:eastAsia="仿宋" w:cstheme="minorBidi"/>
          <w:color w:val="auto"/>
          <w:sz w:val="24"/>
          <w:szCs w:val="24"/>
          <w:u w:val="none"/>
          <w:lang w:eastAsia="zh-CN"/>
        </w:rPr>
        <w:t>三、</w:t>
      </w:r>
      <w:r>
        <w:rPr>
          <w:rStyle w:val="15"/>
          <w:rFonts w:hint="eastAsia" w:ascii="仿宋" w:hAnsi="仿宋" w:eastAsia="仿宋" w:cstheme="minorBidi"/>
          <w:color w:val="auto"/>
          <w:sz w:val="24"/>
          <w:szCs w:val="24"/>
          <w:u w:val="none"/>
          <w:lang w:val="en-US" w:eastAsia="zh-CN"/>
        </w:rPr>
        <w:t>机构设置情况</w:t>
      </w:r>
      <w:r>
        <w:rPr>
          <w:rStyle w:val="15"/>
          <w:rFonts w:ascii="仿宋" w:hAnsi="仿宋" w:eastAsia="仿宋" w:cstheme="minorBidi"/>
          <w:color w:val="auto"/>
          <w:sz w:val="24"/>
          <w:szCs w:val="24"/>
          <w:u w:val="none"/>
        </w:rPr>
        <w:tab/>
      </w:r>
      <w:r>
        <w:rPr>
          <w:rStyle w:val="15"/>
          <w:rFonts w:hint="eastAsia" w:ascii="仿宋" w:hAnsi="仿宋" w:eastAsia="仿宋" w:cstheme="minorBidi"/>
          <w:color w:val="auto"/>
          <w:sz w:val="24"/>
          <w:szCs w:val="24"/>
          <w:u w:val="none"/>
          <w:lang w:val="en-US" w:eastAsia="zh-CN"/>
        </w:rPr>
        <w:t>4</w:t>
      </w:r>
    </w:p>
    <w:p>
      <w:pPr>
        <w:pStyle w:val="10"/>
        <w:adjustRightInd w:val="0"/>
        <w:snapToGrid w:val="0"/>
        <w:spacing w:before="0" w:line="440" w:lineRule="exact"/>
        <w:jc w:val="left"/>
        <w:rPr>
          <w:rStyle w:val="15"/>
          <w:rFonts w:hint="eastAsia" w:ascii="仿宋" w:hAnsi="仿宋" w:eastAsia="仿宋" w:cs="仿宋"/>
          <w:color w:val="auto"/>
          <w:u w:val="none"/>
          <w:lang w:eastAsia="zh-CN"/>
        </w:rPr>
      </w:pPr>
      <w:r>
        <w:rPr>
          <w:rStyle w:val="15"/>
          <w:rFonts w:hint="eastAsia" w:ascii="仿宋" w:hAnsi="仿宋" w:eastAsia="仿宋" w:cs="仿宋"/>
          <w:color w:val="auto"/>
          <w:sz w:val="30"/>
          <w:szCs w:val="30"/>
          <w:u w:val="none"/>
          <w:lang w:eastAsia="zh-CN"/>
        </w:rPr>
        <w:t>第二部分</w:t>
      </w:r>
      <w:r>
        <w:rPr>
          <w:rStyle w:val="15"/>
          <w:rFonts w:hint="eastAsia" w:ascii="仿宋" w:hAnsi="仿宋" w:eastAsia="仿宋" w:cs="仿宋"/>
          <w:color w:val="auto"/>
          <w:sz w:val="30"/>
          <w:szCs w:val="30"/>
          <w:u w:val="none"/>
          <w:lang w:val="en-US" w:eastAsia="zh-CN"/>
        </w:rPr>
        <w:t xml:space="preserve"> 2021年度</w:t>
      </w:r>
      <w:r>
        <w:rPr>
          <w:rStyle w:val="15"/>
          <w:rFonts w:hint="eastAsia" w:ascii="仿宋" w:hAnsi="仿宋" w:eastAsia="仿宋" w:cs="仿宋"/>
          <w:color w:val="auto"/>
          <w:sz w:val="30"/>
          <w:szCs w:val="30"/>
          <w:u w:val="none"/>
          <w:lang w:eastAsia="zh-CN"/>
        </w:rPr>
        <w:t>单位决算情况说明</w:t>
      </w:r>
      <w:r>
        <w:rPr>
          <w:rStyle w:val="15"/>
          <w:rFonts w:hint="eastAsia" w:ascii="仿宋" w:hAnsi="仿宋" w:eastAsia="仿宋" w:cs="仿宋"/>
          <w:color w:val="auto"/>
          <w:sz w:val="21"/>
          <w:szCs w:val="21"/>
          <w:u w:val="none"/>
          <w:lang w:eastAsia="zh-CN"/>
        </w:rPr>
        <w:tab/>
      </w:r>
      <w:r>
        <w:rPr>
          <w:rStyle w:val="15"/>
          <w:rFonts w:hint="eastAsia" w:cs="仿宋"/>
          <w:color w:val="auto"/>
          <w:sz w:val="21"/>
          <w:szCs w:val="21"/>
          <w:u w:val="none"/>
          <w:lang w:val="en-US" w:eastAsia="zh-CN"/>
        </w:rPr>
        <w:t>5</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一、收入支出决算总体情况说明</w:t>
      </w:r>
      <w:r>
        <w:rPr>
          <w:rStyle w:val="15"/>
          <w:rFonts w:hint="eastAsia" w:ascii="仿宋" w:hAnsi="仿宋" w:eastAsia="仿宋" w:cstheme="minorBidi"/>
          <w:color w:val="auto"/>
          <w:sz w:val="24"/>
          <w:szCs w:val="24"/>
          <w:u w:val="none"/>
          <w:lang w:eastAsia="zh-CN"/>
        </w:rPr>
        <w:tab/>
      </w:r>
      <w:r>
        <w:rPr>
          <w:rStyle w:val="15"/>
          <w:rFonts w:hint="eastAsia" w:ascii="仿宋" w:hAnsi="仿宋" w:eastAsia="仿宋" w:cstheme="minorBidi"/>
          <w:color w:val="auto"/>
          <w:sz w:val="24"/>
          <w:szCs w:val="24"/>
          <w:u w:val="none"/>
          <w:lang w:val="en-US" w:eastAsia="zh-CN"/>
        </w:rPr>
        <w:t>5</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二、收入决算情况说明</w:t>
      </w:r>
      <w:r>
        <w:rPr>
          <w:rStyle w:val="15"/>
          <w:rFonts w:hint="eastAsia" w:ascii="仿宋" w:hAnsi="仿宋" w:eastAsia="仿宋" w:cstheme="minorBidi"/>
          <w:color w:val="auto"/>
          <w:sz w:val="24"/>
          <w:szCs w:val="24"/>
          <w:u w:val="none"/>
          <w:lang w:eastAsia="zh-CN"/>
        </w:rPr>
        <w:tab/>
      </w:r>
      <w:bookmarkStart w:id="67" w:name="_GoBack"/>
      <w:bookmarkEnd w:id="67"/>
      <w:r>
        <w:rPr>
          <w:rStyle w:val="15"/>
          <w:rFonts w:hint="eastAsia" w:ascii="仿宋" w:hAnsi="仿宋" w:eastAsia="仿宋" w:cstheme="minorBidi"/>
          <w:color w:val="auto"/>
          <w:sz w:val="24"/>
          <w:szCs w:val="24"/>
          <w:u w:val="none"/>
          <w:lang w:val="en-US" w:eastAsia="zh-CN"/>
        </w:rPr>
        <w:t>5</w:t>
      </w:r>
    </w:p>
    <w:p>
      <w:pPr>
        <w:pStyle w:val="11"/>
        <w:adjustRightInd w:val="0"/>
        <w:snapToGrid w:val="0"/>
        <w:spacing w:line="288" w:lineRule="auto"/>
        <w:rPr>
          <w:rFonts w:hint="eastAsia" w:ascii="仿宋" w:hAnsi="仿宋" w:eastAsia="宋体" w:cstheme="minorBidi"/>
          <w:color w:val="auto"/>
          <w:sz w:val="24"/>
          <w:szCs w:val="24"/>
          <w:highlight w:val="none"/>
          <w:lang w:eastAsia="zh-CN"/>
        </w:rPr>
      </w:pPr>
      <w:r>
        <w:rPr>
          <w:rStyle w:val="15"/>
          <w:rFonts w:hint="eastAsia" w:ascii="仿宋" w:hAnsi="仿宋" w:eastAsia="仿宋" w:cstheme="minorBidi"/>
          <w:color w:val="auto"/>
          <w:sz w:val="24"/>
          <w:szCs w:val="24"/>
          <w:u w:val="none"/>
          <w:lang w:eastAsia="zh-CN"/>
        </w:rPr>
        <w:t>三、支出决算情况说明</w:t>
      </w:r>
      <w:r>
        <w:rPr>
          <w:sz w:val="24"/>
          <w:szCs w:val="24"/>
        </w:rPr>
        <w:tab/>
      </w:r>
      <w:r>
        <w:rPr>
          <w:rFonts w:hint="eastAsia" w:ascii="仿宋" w:hAnsi="仿宋" w:eastAsia="仿宋" w:cs="仿宋"/>
          <w:sz w:val="24"/>
          <w:szCs w:val="24"/>
          <w:lang w:val="en-US" w:eastAsia="zh-CN"/>
        </w:rPr>
        <w:t>6</w:t>
      </w:r>
    </w:p>
    <w:p>
      <w:pPr>
        <w:pStyle w:val="11"/>
        <w:adjustRightInd w:val="0"/>
        <w:snapToGrid w:val="0"/>
        <w:spacing w:line="288" w:lineRule="auto"/>
        <w:rPr>
          <w:rStyle w:val="15"/>
          <w:rFonts w:hint="eastAsia" w:ascii="仿宋" w:hAnsi="仿宋" w:eastAsia="仿宋" w:cstheme="minorBidi"/>
          <w:color w:val="auto"/>
          <w:sz w:val="24"/>
          <w:szCs w:val="24"/>
          <w:u w:val="none"/>
          <w:lang w:val="en-US" w:eastAsia="zh-CN"/>
        </w:rPr>
      </w:pPr>
      <w:r>
        <w:rPr>
          <w:rStyle w:val="15"/>
          <w:rFonts w:hint="eastAsia" w:ascii="仿宋" w:hAnsi="仿宋" w:eastAsia="仿宋" w:cstheme="minorBidi"/>
          <w:color w:val="auto"/>
          <w:sz w:val="24"/>
          <w:szCs w:val="24"/>
          <w:u w:val="none"/>
          <w:lang w:eastAsia="zh-CN"/>
        </w:rPr>
        <w:t>四、财政拨款收入支出决算总体情况说明</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6</w:t>
      </w:r>
    </w:p>
    <w:p>
      <w:pPr>
        <w:pStyle w:val="6"/>
        <w:adjustRightInd w:val="0"/>
        <w:snapToGrid w:val="0"/>
        <w:spacing w:line="288" w:lineRule="auto"/>
        <w:ind w:left="420" w:leftChars="200" w:firstLine="0" w:firstLineChars="0"/>
        <w:rPr>
          <w:rStyle w:val="15"/>
          <w:rFonts w:hint="eastAsia" w:ascii="仿宋" w:hAnsi="仿宋" w:eastAsia="仿宋" w:cstheme="minorBidi"/>
          <w:color w:val="auto"/>
          <w:sz w:val="24"/>
          <w:szCs w:val="24"/>
          <w:u w:val="none"/>
          <w:lang w:val="en-US" w:eastAsia="zh-CN"/>
        </w:rPr>
      </w:pPr>
      <w:r>
        <w:rPr>
          <w:rStyle w:val="15"/>
          <w:rFonts w:hint="eastAsia" w:ascii="仿宋" w:hAnsi="仿宋" w:eastAsia="仿宋" w:cstheme="minorBidi"/>
          <w:color w:val="auto"/>
          <w:sz w:val="24"/>
          <w:szCs w:val="24"/>
          <w:u w:val="none"/>
          <w:lang w:eastAsia="zh-CN"/>
        </w:rPr>
        <w:t>五、一般公共预算财政拨款支出决算情况说明</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7</w:t>
      </w:r>
    </w:p>
    <w:p>
      <w:pPr>
        <w:pStyle w:val="11"/>
        <w:adjustRightInd w:val="0"/>
        <w:snapToGrid w:val="0"/>
        <w:spacing w:line="288" w:lineRule="auto"/>
        <w:rPr>
          <w:rStyle w:val="15"/>
          <w:rFonts w:hint="default" w:ascii="仿宋" w:hAnsi="仿宋" w:eastAsia="仿宋" w:cstheme="minorBidi"/>
          <w:color w:val="000000" w:themeColor="text1"/>
          <w:sz w:val="24"/>
          <w:szCs w:val="24"/>
          <w:u w:val="none"/>
          <w:lang w:val="en-US" w:eastAsia="zh-CN"/>
          <w14:textFill>
            <w14:solidFill>
              <w14:schemeClr w14:val="tx1"/>
            </w14:solidFill>
          </w14:textFill>
        </w:rPr>
      </w:pPr>
      <w:r>
        <w:rPr>
          <w:rStyle w:val="15"/>
          <w:rFonts w:hint="eastAsia" w:ascii="仿宋" w:hAnsi="仿宋" w:eastAsia="仿宋" w:cstheme="minorBidi"/>
          <w:color w:val="000000" w:themeColor="text1"/>
          <w:sz w:val="24"/>
          <w:szCs w:val="24"/>
          <w:u w:val="none"/>
          <w:lang w:eastAsia="zh-CN"/>
          <w14:textFill>
            <w14:solidFill>
              <w14:schemeClr w14:val="tx1"/>
            </w14:solidFill>
          </w14:textFill>
        </w:rPr>
        <w:t>六、一般公共预算财政拨款基本支出决算情况说明</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10</w:t>
      </w:r>
    </w:p>
    <w:p>
      <w:pPr>
        <w:pStyle w:val="11"/>
        <w:adjustRightInd w:val="0"/>
        <w:snapToGrid w:val="0"/>
        <w:spacing w:line="288" w:lineRule="auto"/>
        <w:rPr>
          <w:rStyle w:val="15"/>
          <w:rFonts w:hint="default" w:ascii="仿宋" w:hAnsi="仿宋" w:eastAsia="仿宋" w:cstheme="minorBidi"/>
          <w:color w:val="000000" w:themeColor="text1"/>
          <w:sz w:val="24"/>
          <w:szCs w:val="24"/>
          <w:u w:val="none"/>
          <w:lang w:val="en-US" w:eastAsia="zh-CN"/>
          <w14:textFill>
            <w14:solidFill>
              <w14:schemeClr w14:val="tx1"/>
            </w14:solidFill>
          </w14:textFill>
        </w:rPr>
      </w:pPr>
      <w:r>
        <w:rPr>
          <w:rStyle w:val="15"/>
          <w:rFonts w:hint="eastAsia" w:ascii="仿宋" w:hAnsi="仿宋" w:eastAsia="仿宋" w:cstheme="minorBidi"/>
          <w:color w:val="000000" w:themeColor="text1"/>
          <w:sz w:val="24"/>
          <w:szCs w:val="24"/>
          <w:u w:val="none"/>
          <w:lang w:eastAsia="zh-CN"/>
          <w14:textFill>
            <w14:solidFill>
              <w14:schemeClr w14:val="tx1"/>
            </w14:solidFill>
          </w14:textFill>
        </w:rPr>
        <w:t>七、“三公”经费财政拨款支出决算情况说明</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10</w:t>
      </w:r>
    </w:p>
    <w:p>
      <w:pPr>
        <w:pStyle w:val="11"/>
        <w:adjustRightInd w:val="0"/>
        <w:snapToGrid w:val="0"/>
        <w:spacing w:line="288" w:lineRule="auto"/>
        <w:rPr>
          <w:rStyle w:val="15"/>
          <w:rFonts w:hint="default" w:ascii="仿宋" w:hAnsi="仿宋" w:eastAsia="仿宋" w:cstheme="minorBidi"/>
          <w:color w:val="auto"/>
          <w:sz w:val="24"/>
          <w:szCs w:val="24"/>
          <w:u w:val="none"/>
          <w:lang w:val="en-US" w:eastAsia="zh-CN"/>
        </w:rPr>
      </w:pPr>
      <w:r>
        <w:rPr>
          <w:rStyle w:val="15"/>
          <w:rFonts w:hint="eastAsia" w:ascii="仿宋" w:hAnsi="仿宋" w:eastAsia="仿宋" w:cstheme="minorBidi"/>
          <w:color w:val="auto"/>
          <w:sz w:val="24"/>
          <w:szCs w:val="24"/>
          <w:u w:val="none"/>
          <w:lang w:eastAsia="zh-CN"/>
        </w:rPr>
        <w:t>八、政府性基金预算支出决算情况说明</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11</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九、国有资本经营预算支出决算情况说明</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11</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十、其他重要事项的情况说明</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11</w:t>
      </w:r>
    </w:p>
    <w:p>
      <w:pPr>
        <w:pStyle w:val="10"/>
        <w:adjustRightInd w:val="0"/>
        <w:snapToGrid w:val="0"/>
        <w:spacing w:before="0" w:line="440" w:lineRule="exact"/>
        <w:jc w:val="left"/>
        <w:rPr>
          <w:rStyle w:val="15"/>
          <w:rFonts w:hint="default" w:ascii="仿宋" w:hAnsi="仿宋" w:eastAsia="仿宋" w:cs="仿宋"/>
          <w:color w:val="auto"/>
          <w:sz w:val="30"/>
          <w:szCs w:val="30"/>
          <w:u w:val="none"/>
          <w:lang w:val="en-US" w:eastAsia="zh-CN"/>
        </w:rPr>
      </w:pPr>
      <w:r>
        <w:rPr>
          <w:rStyle w:val="15"/>
          <w:rFonts w:hint="eastAsia" w:ascii="仿宋" w:hAnsi="仿宋" w:eastAsia="仿宋" w:cs="仿宋"/>
          <w:color w:val="auto"/>
          <w:sz w:val="30"/>
          <w:szCs w:val="30"/>
          <w:u w:val="none"/>
          <w:lang w:eastAsia="zh-CN"/>
        </w:rPr>
        <w:t>第三部分 名词解释</w:t>
      </w:r>
      <w:r>
        <w:rPr>
          <w:rFonts w:ascii="仿宋" w:hAnsi="仿宋" w:eastAsia="仿宋"/>
          <w:color w:val="000000" w:themeColor="text1"/>
          <w:sz w:val="24"/>
          <w:szCs w:val="24"/>
          <w:u w:val="none"/>
          <w14:textFill>
            <w14:solidFill>
              <w14:schemeClr w14:val="tx1"/>
            </w14:solidFill>
          </w14:textFill>
        </w:rPr>
        <w:tab/>
      </w:r>
      <w:r>
        <w:rPr>
          <w:rFonts w:hint="eastAsia"/>
          <w:color w:val="000000" w:themeColor="text1"/>
          <w:sz w:val="24"/>
          <w:szCs w:val="24"/>
          <w:u w:val="none"/>
          <w:lang w:val="en-US" w:eastAsia="zh-CN"/>
          <w14:textFill>
            <w14:solidFill>
              <w14:schemeClr w14:val="tx1"/>
            </w14:solidFill>
          </w14:textFill>
        </w:rPr>
        <w:t>14</w:t>
      </w:r>
    </w:p>
    <w:p>
      <w:pPr>
        <w:pStyle w:val="10"/>
        <w:adjustRightInd w:val="0"/>
        <w:snapToGrid w:val="0"/>
        <w:spacing w:before="0" w:line="440" w:lineRule="exact"/>
        <w:jc w:val="left"/>
        <w:rPr>
          <w:rStyle w:val="15"/>
          <w:rFonts w:hint="default" w:ascii="仿宋" w:hAnsi="仿宋" w:eastAsia="仿宋" w:cs="仿宋"/>
          <w:color w:val="auto"/>
          <w:sz w:val="30"/>
          <w:szCs w:val="30"/>
          <w:u w:val="none"/>
          <w:lang w:val="en-US" w:eastAsia="zh-CN"/>
        </w:rPr>
      </w:pPr>
      <w:r>
        <w:rPr>
          <w:rStyle w:val="15"/>
          <w:rFonts w:hint="eastAsia" w:ascii="仿宋" w:hAnsi="仿宋" w:eastAsia="仿宋" w:cs="仿宋"/>
          <w:color w:val="auto"/>
          <w:sz w:val="30"/>
          <w:szCs w:val="30"/>
          <w:u w:val="none"/>
          <w:lang w:eastAsia="zh-CN"/>
        </w:rPr>
        <w:t>第四部分 附件</w:t>
      </w:r>
      <w:r>
        <w:rPr>
          <w:rFonts w:ascii="仿宋" w:hAnsi="仿宋" w:eastAsia="仿宋"/>
          <w:color w:val="000000" w:themeColor="text1"/>
          <w:sz w:val="24"/>
          <w:szCs w:val="24"/>
          <w:u w:val="none"/>
          <w14:textFill>
            <w14:solidFill>
              <w14:schemeClr w14:val="tx1"/>
            </w14:solidFill>
          </w14:textFill>
        </w:rPr>
        <w:tab/>
      </w:r>
      <w:r>
        <w:rPr>
          <w:rFonts w:hint="eastAsia"/>
          <w:color w:val="000000" w:themeColor="text1"/>
          <w:sz w:val="24"/>
          <w:szCs w:val="24"/>
          <w:u w:val="none"/>
          <w:lang w:val="en-US" w:eastAsia="zh-CN"/>
          <w14:textFill>
            <w14:solidFill>
              <w14:schemeClr w14:val="tx1"/>
            </w14:solidFill>
          </w14:textFill>
        </w:rPr>
        <w:t>17</w:t>
      </w:r>
    </w:p>
    <w:p>
      <w:pPr>
        <w:pStyle w:val="10"/>
        <w:adjustRightInd w:val="0"/>
        <w:snapToGrid w:val="0"/>
        <w:spacing w:before="0" w:line="440" w:lineRule="exact"/>
        <w:jc w:val="left"/>
        <w:rPr>
          <w:rStyle w:val="15"/>
          <w:rFonts w:hint="default" w:ascii="仿宋" w:hAnsi="仿宋" w:eastAsia="仿宋" w:cs="仿宋"/>
          <w:color w:val="auto"/>
          <w:sz w:val="32"/>
          <w:szCs w:val="32"/>
          <w:u w:val="none"/>
          <w:lang w:val="en-US" w:eastAsia="zh-CN"/>
        </w:rPr>
      </w:pPr>
      <w:r>
        <w:rPr>
          <w:rStyle w:val="15"/>
          <w:rFonts w:hint="eastAsia" w:ascii="仿宋" w:hAnsi="仿宋" w:eastAsia="仿宋" w:cs="仿宋"/>
          <w:color w:val="auto"/>
          <w:sz w:val="30"/>
          <w:szCs w:val="30"/>
          <w:u w:val="none"/>
          <w:lang w:eastAsia="zh-CN"/>
        </w:rPr>
        <w:t>第五部分 附表</w:t>
      </w:r>
      <w:r>
        <w:rPr>
          <w:rFonts w:ascii="仿宋" w:hAnsi="仿宋" w:eastAsia="仿宋"/>
          <w:color w:val="000000" w:themeColor="text1"/>
          <w:sz w:val="24"/>
          <w:szCs w:val="24"/>
          <w:u w:val="none"/>
          <w14:textFill>
            <w14:solidFill>
              <w14:schemeClr w14:val="tx1"/>
            </w14:solidFill>
          </w14:textFill>
        </w:rPr>
        <w:tab/>
      </w:r>
      <w:r>
        <w:rPr>
          <w:rFonts w:hint="eastAsia"/>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default" w:ascii="仿宋" w:hAnsi="仿宋" w:eastAsia="仿宋" w:cstheme="minorBidi"/>
          <w:color w:val="auto"/>
          <w:sz w:val="24"/>
          <w:szCs w:val="24"/>
          <w:u w:val="none"/>
          <w:lang w:val="en-US" w:eastAsia="zh-CN"/>
        </w:rPr>
      </w:pPr>
      <w:r>
        <w:rPr>
          <w:rStyle w:val="15"/>
          <w:rFonts w:hint="eastAsia" w:ascii="仿宋" w:hAnsi="仿宋" w:eastAsia="仿宋" w:cstheme="minorBidi"/>
          <w:color w:val="auto"/>
          <w:sz w:val="24"/>
          <w:szCs w:val="24"/>
          <w:u w:val="none"/>
          <w:lang w:eastAsia="zh-CN"/>
        </w:rPr>
        <w:t>一、收入支出决算总表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二、收入决算表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三、支出决算表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四、财政拨款收入支出决算总表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五、财政拨款支出决算明细表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六、一般公共预算财政拨款支出决算表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七、一般公共预算财政拨款支出决算明细表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八、一般公共预算财政拨款基本支出决算表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九、一般公共预算财政拨款项目支出决算表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十、一般公共预算财政拨款“三公”经费支出决算表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十一、政府性基金预算财政拨款收入支出决算表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十二、政府性基金预算财政拨款“三公”经费支出决算表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eastAsia" w:ascii="仿宋" w:hAnsi="仿宋" w:eastAsia="仿宋" w:cstheme="minorBidi"/>
          <w:color w:val="auto"/>
          <w:sz w:val="24"/>
          <w:szCs w:val="24"/>
          <w:u w:val="none"/>
          <w:lang w:eastAsia="zh-CN"/>
        </w:rPr>
      </w:pPr>
      <w:r>
        <w:rPr>
          <w:rStyle w:val="15"/>
          <w:rFonts w:hint="eastAsia" w:ascii="仿宋" w:hAnsi="仿宋" w:eastAsia="仿宋" w:cstheme="minorBidi"/>
          <w:color w:val="auto"/>
          <w:sz w:val="24"/>
          <w:szCs w:val="24"/>
          <w:u w:val="none"/>
          <w:lang w:eastAsia="zh-CN"/>
        </w:rPr>
        <w:t>十三、国有资本经营预算财政拨款收入支出决算表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11"/>
        <w:adjustRightInd w:val="0"/>
        <w:snapToGrid w:val="0"/>
        <w:spacing w:line="288" w:lineRule="auto"/>
        <w:rPr>
          <w:rStyle w:val="15"/>
          <w:rFonts w:hint="default" w:ascii="仿宋" w:hAnsi="仿宋" w:eastAsia="仿宋" w:cstheme="minorBidi"/>
          <w:color w:val="auto"/>
          <w:sz w:val="24"/>
          <w:szCs w:val="24"/>
          <w:u w:val="none"/>
          <w:lang w:val="en-US" w:eastAsia="zh-CN"/>
        </w:rPr>
      </w:pPr>
      <w:r>
        <w:rPr>
          <w:rStyle w:val="15"/>
          <w:rFonts w:hint="eastAsia" w:ascii="仿宋" w:hAnsi="仿宋" w:eastAsia="仿宋" w:cstheme="minorBidi"/>
          <w:color w:val="auto"/>
          <w:sz w:val="24"/>
          <w:szCs w:val="24"/>
          <w:u w:val="none"/>
          <w:lang w:val="en-US" w:eastAsia="zh-CN"/>
        </w:rPr>
        <w:t>十四、国有资本经营预算财政拨款支出决算表</w:t>
      </w:r>
      <w:r>
        <w:rPr>
          <w:rFonts w:ascii="仿宋" w:hAnsi="仿宋" w:eastAsia="仿宋"/>
          <w:color w:val="000000" w:themeColor="text1"/>
          <w:sz w:val="24"/>
          <w:szCs w:val="24"/>
          <w:u w:val="none"/>
          <w14:textFill>
            <w14:solidFill>
              <w14:schemeClr w14:val="tx1"/>
            </w14:solidFill>
          </w14:textFill>
        </w:rPr>
        <w:tab/>
      </w:r>
      <w:r>
        <w:rPr>
          <w:rFonts w:hint="eastAsia" w:ascii="仿宋" w:hAnsi="仿宋" w:eastAsia="仿宋"/>
          <w:color w:val="000000" w:themeColor="text1"/>
          <w:sz w:val="24"/>
          <w:szCs w:val="24"/>
          <w:u w:val="none"/>
          <w:lang w:val="en-US" w:eastAsia="zh-CN"/>
          <w14:textFill>
            <w14:solidFill>
              <w14:schemeClr w14:val="tx1"/>
            </w14:solidFill>
          </w14:textFill>
        </w:rPr>
        <w:t>18</w:t>
      </w:r>
    </w:p>
    <w:p>
      <w:pPr>
        <w:pStyle w:val="3"/>
        <w:jc w:val="center"/>
        <w:rPr>
          <w:rStyle w:val="24"/>
          <w:rFonts w:ascii="黑体" w:hAnsi="黑体" w:eastAsia="黑体"/>
          <w:b/>
          <w:bCs w:val="0"/>
          <w:color w:val="auto"/>
          <w:highlight w:val="none"/>
        </w:rPr>
      </w:pPr>
      <w:bookmarkStart w:id="12" w:name="_Toc15377196"/>
      <w:bookmarkStart w:id="13" w:name="_Toc15396599"/>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pStyle w:val="4"/>
        <w:numPr>
          <w:ilvl w:val="0"/>
          <w:numId w:val="0"/>
        </w:numPr>
        <w:ind w:left="420" w:leftChars="0"/>
        <w:rPr>
          <w:rStyle w:val="25"/>
          <w:rFonts w:hint="eastAsia" w:ascii="黑体" w:hAnsi="黑体" w:eastAsia="黑体"/>
          <w:b w:val="0"/>
          <w:bCs w:val="0"/>
          <w:color w:val="auto"/>
          <w:highlight w:val="none"/>
          <w:lang w:eastAsia="zh-CN"/>
        </w:rPr>
      </w:pPr>
      <w:bookmarkStart w:id="14" w:name="_Toc15396600"/>
      <w:bookmarkStart w:id="15" w:name="_Toc15377197"/>
      <w:r>
        <w:rPr>
          <w:rStyle w:val="25"/>
          <w:rFonts w:hint="eastAsia" w:ascii="黑体" w:hAnsi="黑体" w:eastAsia="黑体"/>
          <w:b w:val="0"/>
          <w:bCs w:val="0"/>
          <w:color w:val="auto"/>
          <w:highlight w:val="none"/>
          <w:lang w:eastAsia="zh-CN"/>
        </w:rPr>
        <w:t>一、</w:t>
      </w:r>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p>
    <w:p>
      <w:pPr>
        <w:snapToGrid w:val="0"/>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一是负责驻地省市党委、政府及有关部门联系，宣传介绍四川政治、经济情况，促进省际间相互了解和友好往来。二是组织、开展省际间经济合作和招商引资工作。三是加强调查研究，做好省际间的信息收集、整理及沟通工作，为省委、省政府决策提供参考依据。四是负责联系区域四川企、事业单位的协调服务工作。五是负责省领导赴联系地区的考察接待工作；为省级各部门、各市（州）在当地开展业务活动提供咨询服务和工作方便。六是指导四川驻联系地区单位党建、廉政及精神文明建设工作。七是承办省委、省政府和主管部门交办的其他事宜。</w:t>
      </w:r>
    </w:p>
    <w:p>
      <w:pPr>
        <w:pStyle w:val="4"/>
        <w:numPr>
          <w:ilvl w:val="0"/>
          <w:numId w:val="0"/>
        </w:numPr>
        <w:ind w:left="418" w:leftChars="199" w:firstLine="0" w:firstLineChars="0"/>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shd w:val="solid" w:color="FFFFFF" w:fill="auto"/>
        <w:overflowPunct w:val="0"/>
        <w:autoSpaceDE w:val="0"/>
        <w:autoSpaceDN w:val="0"/>
        <w:adjustRightInd w:val="0"/>
        <w:spacing w:line="560" w:lineRule="exact"/>
        <w:ind w:left="105" w:leftChars="50" w:firstLine="643" w:firstLineChars="200"/>
        <w:rPr>
          <w:rFonts w:hint="eastAsia" w:ascii="仿宋_GB2312" w:hAnsi="宋体" w:eastAsia="仿宋_GB2312" w:cs="仿宋"/>
          <w:sz w:val="32"/>
          <w:szCs w:val="32"/>
          <w:shd w:val="clear" w:color="auto" w:fill="FFFFFF"/>
          <w:lang w:eastAsia="zh-CN"/>
        </w:rPr>
      </w:pPr>
      <w:r>
        <w:rPr>
          <w:rFonts w:hint="eastAsia" w:ascii="仿宋_GB2312" w:hAnsi="楷体" w:eastAsia="仿宋_GB2312" w:cs="楷体"/>
          <w:b/>
          <w:bCs w:val="0"/>
          <w:sz w:val="32"/>
          <w:szCs w:val="32"/>
          <w:shd w:val="clear" w:color="auto" w:fill="FFFFFF"/>
        </w:rPr>
        <w:t>引进项目：</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合同引资额</w:t>
      </w:r>
      <w:r>
        <w:rPr>
          <w:rFonts w:hint="eastAsia" w:ascii="仿宋_GB2312" w:hAnsi="仿宋_GB2312" w:eastAsia="仿宋_GB2312" w:cs="仿宋_GB2312"/>
          <w:sz w:val="32"/>
          <w:szCs w:val="32"/>
          <w:lang w:val="en-US" w:eastAsia="zh-CN"/>
        </w:rPr>
        <w:t>823.30</w:t>
      </w:r>
      <w:r>
        <w:rPr>
          <w:rFonts w:hint="eastAsia" w:ascii="仿宋_GB2312" w:hAnsi="仿宋_GB2312" w:eastAsia="仿宋_GB2312" w:cs="仿宋_GB2312"/>
          <w:sz w:val="32"/>
          <w:szCs w:val="32"/>
        </w:rPr>
        <w:t>亿元，完成年度目标任务的</w:t>
      </w:r>
      <w:r>
        <w:rPr>
          <w:rFonts w:hint="eastAsia" w:ascii="仿宋_GB2312" w:hAnsi="仿宋_GB2312" w:eastAsia="仿宋_GB2312" w:cs="仿宋_GB2312"/>
          <w:sz w:val="32"/>
          <w:szCs w:val="32"/>
          <w:lang w:val="en-US" w:eastAsia="zh-CN"/>
        </w:rPr>
        <w:t>257</w:t>
      </w:r>
      <w:r>
        <w:rPr>
          <w:rFonts w:hint="eastAsia" w:ascii="仿宋_GB2312" w:hAnsi="仿宋_GB2312" w:eastAsia="仿宋_GB2312" w:cs="仿宋_GB2312"/>
          <w:sz w:val="32"/>
          <w:szCs w:val="32"/>
        </w:rPr>
        <w:t>%；实际到位资金额</w:t>
      </w:r>
      <w:r>
        <w:rPr>
          <w:rFonts w:hint="eastAsia" w:ascii="仿宋_GB2312" w:hAnsi="仿宋_GB2312" w:eastAsia="仿宋_GB2312" w:cs="仿宋_GB2312"/>
          <w:sz w:val="32"/>
          <w:szCs w:val="32"/>
          <w:lang w:val="en-US" w:eastAsia="zh-CN"/>
        </w:rPr>
        <w:t>190.47</w:t>
      </w:r>
      <w:r>
        <w:rPr>
          <w:rFonts w:hint="eastAsia" w:ascii="仿宋_GB2312" w:hAnsi="仿宋_GB2312" w:eastAsia="仿宋_GB2312" w:cs="仿宋_GB2312"/>
          <w:sz w:val="32"/>
          <w:szCs w:val="32"/>
        </w:rPr>
        <w:t>亿元；直接促进50亿元的重大项目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个，直接促进30亿元的重大项目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个，直接促进10亿元的大项目</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，完成重大项目入库工作。</w:t>
      </w:r>
    </w:p>
    <w:p>
      <w:pPr>
        <w:shd w:val="solid" w:color="FFFFFF" w:fill="auto"/>
        <w:overflowPunct w:val="0"/>
        <w:autoSpaceDE w:val="0"/>
        <w:autoSpaceDN w:val="0"/>
        <w:adjustRightInd w:val="0"/>
        <w:spacing w:line="560" w:lineRule="exact"/>
        <w:ind w:left="105" w:leftChars="50" w:firstLine="643" w:firstLineChars="200"/>
        <w:rPr>
          <w:rFonts w:hint="default" w:ascii="仿宋_GB2312" w:hAnsi="仿宋_GB2312" w:eastAsia="仿宋_GB2312" w:cs="仿宋_GB2312"/>
          <w:sz w:val="32"/>
          <w:szCs w:val="32"/>
          <w:lang w:val="en-US" w:eastAsia="zh-CN"/>
        </w:rPr>
      </w:pPr>
      <w:r>
        <w:rPr>
          <w:rFonts w:hint="eastAsia" w:ascii="仿宋_GB2312" w:hAnsi="楷体" w:eastAsia="仿宋_GB2312" w:cs="仿宋"/>
          <w:b/>
          <w:bCs w:val="0"/>
          <w:sz w:val="32"/>
          <w:szCs w:val="32"/>
          <w:shd w:val="clear" w:color="auto" w:fill="FFFFFF"/>
        </w:rPr>
        <w:t>平台活动：</w:t>
      </w:r>
      <w:r>
        <w:rPr>
          <w:rFonts w:hint="eastAsia" w:ascii="仿宋_GB2312" w:hAnsi="仿宋_GB2312" w:eastAsia="仿宋_GB2312" w:cs="仿宋_GB2312"/>
          <w:sz w:val="32"/>
          <w:szCs w:val="32"/>
        </w:rPr>
        <w:t>邀请500强及知名企业</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家参加“中外知名企业四川行活动”</w:t>
      </w:r>
      <w:r>
        <w:rPr>
          <w:rFonts w:hint="eastAsia" w:ascii="仿宋_GB2312" w:hAnsi="仿宋_GB2312" w:eastAsia="仿宋_GB2312" w:cs="仿宋_GB2312"/>
          <w:sz w:val="32"/>
          <w:szCs w:val="32"/>
          <w:lang w:eastAsia="zh-CN"/>
        </w:rPr>
        <w:t>完成任务的</w:t>
      </w:r>
      <w:r>
        <w:rPr>
          <w:rFonts w:hint="eastAsia" w:ascii="仿宋_GB2312" w:hAnsi="仿宋_GB2312" w:eastAsia="仿宋_GB2312" w:cs="仿宋_GB2312"/>
          <w:sz w:val="32"/>
          <w:szCs w:val="32"/>
          <w:lang w:val="en-US" w:eastAsia="zh-CN"/>
        </w:rPr>
        <w:t>145%；</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500强及知名企业</w:t>
      </w:r>
      <w:r>
        <w:rPr>
          <w:rFonts w:hint="eastAsia" w:ascii="仿宋_GB2312" w:hAnsi="仿宋_GB2312" w:eastAsia="仿宋_GB2312" w:cs="仿宋_GB2312"/>
          <w:sz w:val="32"/>
          <w:szCs w:val="32"/>
          <w:lang w:eastAsia="zh-CN"/>
        </w:rPr>
        <w:t>参加“西博会”的邀请任务</w:t>
      </w:r>
      <w:r>
        <w:rPr>
          <w:rFonts w:hint="eastAsia" w:ascii="仿宋_GB2312" w:hAnsi="仿宋_GB2312" w:eastAsia="仿宋_GB2312" w:cs="仿宋_GB2312"/>
          <w:sz w:val="32"/>
          <w:szCs w:val="32"/>
          <w:lang w:val="en-US" w:eastAsia="zh-CN"/>
        </w:rPr>
        <w:t>。完成“兰洽会</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、“西洽会”等的协办及邀请任务。</w:t>
      </w:r>
      <w:r>
        <w:rPr>
          <w:rFonts w:hint="eastAsia" w:ascii="仿宋_GB2312" w:hAnsi="仿宋_GB2312" w:eastAsia="仿宋_GB2312" w:cs="仿宋_GB2312"/>
          <w:sz w:val="32"/>
          <w:szCs w:val="32"/>
        </w:rPr>
        <w:t>在联系区域内搭建专题招商平台</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完成年度目标任务的</w:t>
      </w:r>
      <w:r>
        <w:rPr>
          <w:rFonts w:hint="eastAsia" w:ascii="仿宋_GB2312" w:hAnsi="仿宋_GB2312" w:eastAsia="仿宋_GB2312" w:cs="仿宋_GB2312"/>
          <w:sz w:val="32"/>
          <w:szCs w:val="32"/>
          <w:lang w:val="en-US" w:eastAsia="zh-CN"/>
        </w:rPr>
        <w:t>135%。</w:t>
      </w:r>
    </w:p>
    <w:p>
      <w:pPr>
        <w:shd w:val="solid" w:color="FFFFFF" w:fill="auto"/>
        <w:overflowPunct w:val="0"/>
        <w:autoSpaceDE w:val="0"/>
        <w:autoSpaceDN w:val="0"/>
        <w:adjustRightInd w:val="0"/>
        <w:spacing w:line="560" w:lineRule="exact"/>
        <w:ind w:left="105" w:leftChars="50" w:firstLine="643" w:firstLineChars="200"/>
        <w:rPr>
          <w:rFonts w:ascii="仿宋_GB2312" w:hAnsi="宋体" w:eastAsia="仿宋_GB2312"/>
          <w:sz w:val="32"/>
          <w:szCs w:val="32"/>
        </w:rPr>
      </w:pPr>
      <w:r>
        <w:rPr>
          <w:rFonts w:hint="eastAsia" w:ascii="仿宋_GB2312" w:hAnsi="楷体" w:eastAsia="仿宋_GB2312"/>
          <w:b/>
          <w:bCs w:val="0"/>
          <w:sz w:val="32"/>
          <w:szCs w:val="32"/>
        </w:rPr>
        <w:t>区域合作：</w:t>
      </w:r>
      <w:r>
        <w:rPr>
          <w:rFonts w:hint="eastAsia" w:ascii="仿宋_GB2312" w:hAnsi="楷体" w:eastAsia="仿宋_GB2312"/>
          <w:sz w:val="32"/>
          <w:szCs w:val="32"/>
        </w:rPr>
        <w:t>帮助我省相关部门和市州与重庆市对口部门和区县签订战略合作协议，在产业协同发展、物流互通、现代农业、大数据等多个领域开展深度合作。</w:t>
      </w:r>
    </w:p>
    <w:p>
      <w:pPr>
        <w:shd w:val="solid" w:color="FFFFFF" w:fill="auto"/>
        <w:overflowPunct w:val="0"/>
        <w:autoSpaceDE w:val="0"/>
        <w:autoSpaceDN w:val="0"/>
        <w:adjustRightInd w:val="0"/>
        <w:spacing w:line="560" w:lineRule="exact"/>
        <w:ind w:left="105" w:leftChars="50" w:firstLine="643" w:firstLineChars="200"/>
        <w:rPr>
          <w:rFonts w:ascii="仿宋_GB2312" w:hAnsi="宋体" w:eastAsia="仿宋_GB2312" w:cs="仿宋"/>
          <w:color w:val="000000"/>
          <w:sz w:val="32"/>
          <w:szCs w:val="32"/>
          <w:shd w:val="clear" w:color="auto" w:fill="FFFFFF"/>
        </w:rPr>
      </w:pPr>
      <w:r>
        <w:rPr>
          <w:rFonts w:hint="eastAsia" w:ascii="仿宋_GB2312" w:hAnsi="楷体" w:eastAsia="仿宋_GB2312"/>
          <w:b/>
          <w:bCs w:val="0"/>
          <w:sz w:val="32"/>
          <w:szCs w:val="32"/>
        </w:rPr>
        <w:t>川籍农民工服务：</w:t>
      </w:r>
      <w:r>
        <w:rPr>
          <w:rFonts w:hint="eastAsia" w:ascii="仿宋_GB2312" w:hAnsi="宋体" w:eastAsia="仿宋_GB2312" w:cs="楷体"/>
          <w:color w:val="000000"/>
          <w:sz w:val="32"/>
          <w:szCs w:val="32"/>
          <w:shd w:val="clear" w:color="auto" w:fill="FFFFFF"/>
        </w:rPr>
        <w:t>接待</w:t>
      </w:r>
      <w:r>
        <w:rPr>
          <w:rFonts w:hint="eastAsia" w:ascii="仿宋_GB2312" w:hAnsi="宋体" w:eastAsia="仿宋_GB2312" w:cs="仿宋"/>
          <w:color w:val="000000"/>
          <w:sz w:val="32"/>
          <w:szCs w:val="32"/>
          <w:shd w:val="clear" w:color="auto" w:fill="FFFFFF"/>
        </w:rPr>
        <w:t>川籍农民工来信来访</w:t>
      </w:r>
      <w:r>
        <w:rPr>
          <w:rFonts w:hint="eastAsia" w:ascii="仿宋_GB2312" w:hAnsi="宋体" w:eastAsia="仿宋_GB2312" w:cs="仿宋"/>
          <w:color w:val="000000"/>
          <w:sz w:val="32"/>
          <w:szCs w:val="32"/>
          <w:shd w:val="clear" w:color="auto" w:fill="FFFFFF"/>
          <w:lang w:val="en-US" w:eastAsia="zh-CN"/>
        </w:rPr>
        <w:t>40</w:t>
      </w:r>
      <w:r>
        <w:rPr>
          <w:rFonts w:ascii="仿宋_GB2312" w:hAnsi="宋体" w:eastAsia="仿宋_GB2312" w:cs="仿宋"/>
          <w:color w:val="000000"/>
          <w:sz w:val="32"/>
          <w:szCs w:val="32"/>
          <w:shd w:val="clear" w:color="auto" w:fill="FFFFFF"/>
        </w:rPr>
        <w:t>0</w:t>
      </w:r>
      <w:r>
        <w:rPr>
          <w:rFonts w:hint="eastAsia" w:ascii="仿宋_GB2312" w:hAnsi="宋体" w:eastAsia="仿宋_GB2312" w:cs="仿宋"/>
          <w:color w:val="000000"/>
          <w:sz w:val="32"/>
          <w:szCs w:val="32"/>
          <w:shd w:val="clear" w:color="auto" w:fill="FFFFFF"/>
          <w:lang w:eastAsia="zh-CN"/>
        </w:rPr>
        <w:t>余</w:t>
      </w:r>
      <w:r>
        <w:rPr>
          <w:rFonts w:hint="eastAsia" w:ascii="仿宋_GB2312" w:hAnsi="宋体" w:eastAsia="仿宋_GB2312" w:cs="仿宋"/>
          <w:color w:val="000000"/>
          <w:sz w:val="32"/>
          <w:szCs w:val="32"/>
          <w:shd w:val="clear" w:color="auto" w:fill="FFFFFF"/>
        </w:rPr>
        <w:t>人次，受理率</w:t>
      </w:r>
      <w:r>
        <w:rPr>
          <w:rFonts w:ascii="仿宋_GB2312" w:hAnsi="宋体" w:eastAsia="仿宋_GB2312" w:cs="仿宋"/>
          <w:color w:val="000000"/>
          <w:sz w:val="32"/>
          <w:szCs w:val="32"/>
          <w:shd w:val="clear" w:color="auto" w:fill="FFFFFF"/>
        </w:rPr>
        <w:t>100%</w:t>
      </w:r>
      <w:r>
        <w:rPr>
          <w:rFonts w:hint="eastAsia" w:ascii="仿宋_GB2312" w:hAnsi="宋体" w:eastAsia="仿宋_GB2312" w:cs="仿宋"/>
          <w:color w:val="000000"/>
          <w:sz w:val="32"/>
          <w:szCs w:val="32"/>
          <w:shd w:val="clear" w:color="auto" w:fill="FFFFFF"/>
        </w:rPr>
        <w:t>，</w:t>
      </w:r>
      <w:r>
        <w:rPr>
          <w:rFonts w:hint="eastAsia" w:ascii="仿宋_GB2312" w:hAnsi="宋体" w:eastAsia="仿宋_GB2312" w:cs="仿宋"/>
          <w:color w:val="000000"/>
          <w:sz w:val="32"/>
          <w:szCs w:val="32"/>
          <w:shd w:val="clear" w:color="auto" w:fill="FFFFFF"/>
          <w:lang w:eastAsia="zh-CN"/>
        </w:rPr>
        <w:t>召开了</w:t>
      </w:r>
      <w:r>
        <w:rPr>
          <w:rFonts w:hint="eastAsia" w:ascii="仿宋_GB2312" w:hAnsi="宋体" w:eastAsia="仿宋_GB2312" w:cs="仿宋"/>
          <w:color w:val="000000"/>
          <w:sz w:val="32"/>
          <w:szCs w:val="32"/>
          <w:shd w:val="clear" w:color="auto" w:fill="FFFFFF"/>
          <w:lang w:val="en-US" w:eastAsia="zh-CN"/>
        </w:rPr>
        <w:t>2</w:t>
      </w:r>
      <w:r>
        <w:rPr>
          <w:rFonts w:hint="eastAsia" w:ascii="仿宋_GB2312" w:hAnsi="宋体" w:eastAsia="仿宋_GB2312" w:cs="仿宋"/>
          <w:color w:val="000000"/>
          <w:sz w:val="32"/>
          <w:szCs w:val="32"/>
          <w:shd w:val="clear" w:color="auto" w:fill="FFFFFF"/>
          <w:lang w:eastAsia="zh-CN"/>
        </w:rPr>
        <w:t>次就业促进专题座谈会，</w:t>
      </w:r>
      <w:r>
        <w:rPr>
          <w:rFonts w:hint="eastAsia" w:ascii="仿宋_GB2312" w:hAnsi="宋体" w:eastAsia="仿宋_GB2312" w:cs="仿宋"/>
          <w:color w:val="000000"/>
          <w:sz w:val="32"/>
          <w:szCs w:val="32"/>
          <w:shd w:val="clear" w:color="auto" w:fill="FFFFFF"/>
        </w:rPr>
        <w:t>全年</w:t>
      </w:r>
      <w:r>
        <w:rPr>
          <w:rFonts w:hint="eastAsia" w:ascii="仿宋_GB2312" w:hAnsi="宋体" w:eastAsia="仿宋_GB2312" w:cs="仿宋"/>
          <w:color w:val="000000"/>
          <w:sz w:val="32"/>
          <w:szCs w:val="32"/>
          <w:shd w:val="clear" w:color="auto" w:fill="FFFFFF"/>
          <w:lang w:eastAsia="zh-CN"/>
        </w:rPr>
        <w:t>培训农民工</w:t>
      </w:r>
      <w:r>
        <w:rPr>
          <w:rFonts w:hint="eastAsia" w:ascii="仿宋_GB2312" w:hAnsi="宋体" w:eastAsia="仿宋_GB2312" w:cs="仿宋"/>
          <w:color w:val="000000"/>
          <w:sz w:val="32"/>
          <w:szCs w:val="32"/>
          <w:shd w:val="clear" w:color="auto" w:fill="FFFFFF"/>
          <w:lang w:val="en-US" w:eastAsia="zh-CN"/>
        </w:rPr>
        <w:t>300人次，走访</w:t>
      </w:r>
      <w:r>
        <w:rPr>
          <w:rFonts w:hint="eastAsia" w:ascii="仿宋_GB2312" w:hAnsi="宋体" w:eastAsia="仿宋_GB2312" w:cs="仿宋"/>
          <w:color w:val="000000"/>
          <w:sz w:val="32"/>
          <w:szCs w:val="32"/>
          <w:shd w:val="clear" w:color="auto" w:fill="FFFFFF"/>
        </w:rPr>
        <w:t>慰问贫困川籍农民工</w:t>
      </w:r>
      <w:r>
        <w:rPr>
          <w:rFonts w:hint="default" w:ascii="仿宋_GB2312" w:hAnsi="宋体" w:eastAsia="仿宋_GB2312" w:cs="仿宋"/>
          <w:color w:val="000000"/>
          <w:sz w:val="32"/>
          <w:szCs w:val="32"/>
          <w:shd w:val="clear" w:color="auto" w:fill="FFFFFF"/>
          <w:lang w:val="en"/>
        </w:rPr>
        <w:t>590</w:t>
      </w:r>
      <w:r>
        <w:rPr>
          <w:rFonts w:hint="eastAsia" w:ascii="仿宋_GB2312" w:hAnsi="宋体" w:eastAsia="仿宋_GB2312" w:cs="仿宋"/>
          <w:color w:val="000000"/>
          <w:sz w:val="32"/>
          <w:szCs w:val="32"/>
          <w:shd w:val="clear" w:color="auto" w:fill="FFFFFF"/>
        </w:rPr>
        <w:t>人次，</w:t>
      </w:r>
      <w:r>
        <w:rPr>
          <w:rFonts w:hint="eastAsia" w:ascii="仿宋_GB2312" w:hAnsi="宋体" w:eastAsia="仿宋_GB2312" w:cs="仿宋"/>
          <w:color w:val="000000"/>
          <w:sz w:val="32"/>
          <w:szCs w:val="32"/>
          <w:shd w:val="clear" w:color="auto" w:fill="FFFFFF"/>
          <w:lang w:eastAsia="zh-CN"/>
        </w:rPr>
        <w:t>组织</w:t>
      </w:r>
      <w:r>
        <w:rPr>
          <w:rFonts w:hint="eastAsia" w:ascii="仿宋_GB2312" w:hAnsi="宋体" w:eastAsia="仿宋_GB2312" w:cs="仿宋"/>
          <w:color w:val="000000"/>
          <w:sz w:val="32"/>
          <w:szCs w:val="32"/>
          <w:shd w:val="clear" w:color="auto" w:fill="FFFFFF"/>
          <w:lang w:val="en-US" w:eastAsia="zh-CN"/>
        </w:rPr>
        <w:t>150多人参加“云健身健步走活动”，</w:t>
      </w:r>
      <w:r>
        <w:rPr>
          <w:rFonts w:hint="eastAsia" w:ascii="仿宋_GB2312" w:hAnsi="宋体" w:eastAsia="仿宋_GB2312" w:cs="仿宋"/>
          <w:color w:val="000000"/>
          <w:sz w:val="32"/>
          <w:szCs w:val="32"/>
          <w:shd w:val="clear" w:color="auto" w:fill="FFFFFF"/>
        </w:rPr>
        <w:t>驻地全年未发生川籍农民工不稳定事件。</w:t>
      </w:r>
    </w:p>
    <w:p>
      <w:pPr>
        <w:overflowPunct w:val="0"/>
        <w:autoSpaceDE w:val="0"/>
        <w:autoSpaceDN w:val="0"/>
        <w:adjustRightInd w:val="0"/>
        <w:spacing w:line="560" w:lineRule="exact"/>
        <w:ind w:left="105" w:leftChars="50" w:firstLine="643" w:firstLineChars="200"/>
        <w:rPr>
          <w:rFonts w:ascii="仿宋_GB2312" w:hAnsi="宋体" w:eastAsia="仿宋_GB2312" w:cs="仿宋"/>
          <w:color w:val="000000"/>
          <w:sz w:val="32"/>
          <w:szCs w:val="32"/>
          <w:shd w:val="clear" w:color="auto" w:fill="FFFFFF"/>
        </w:rPr>
      </w:pPr>
      <w:r>
        <w:rPr>
          <w:rFonts w:hint="eastAsia" w:ascii="仿宋_GB2312" w:hAnsi="楷体" w:eastAsia="仿宋_GB2312" w:cs="楷体"/>
          <w:b/>
          <w:bCs w:val="0"/>
          <w:color w:val="000000"/>
          <w:sz w:val="32"/>
          <w:szCs w:val="32"/>
          <w:shd w:val="clear" w:color="auto" w:fill="FFFFFF"/>
        </w:rPr>
        <w:t>信息工作：</w:t>
      </w:r>
      <w:r>
        <w:rPr>
          <w:rFonts w:hint="eastAsia" w:ascii="仿宋_GB2312" w:hAnsi="楷体" w:eastAsia="仿宋_GB2312" w:cs="楷体"/>
          <w:b w:val="0"/>
          <w:bCs/>
          <w:color w:val="000000"/>
          <w:sz w:val="32"/>
          <w:szCs w:val="32"/>
          <w:shd w:val="clear" w:color="auto" w:fill="FFFFFF"/>
          <w:lang w:eastAsia="zh-CN"/>
        </w:rPr>
        <w:t>收集会展信息</w:t>
      </w:r>
      <w:r>
        <w:rPr>
          <w:rFonts w:hint="eastAsia" w:ascii="仿宋_GB2312" w:hAnsi="楷体" w:eastAsia="仿宋_GB2312" w:cs="楷体"/>
          <w:b w:val="0"/>
          <w:bCs/>
          <w:color w:val="000000"/>
          <w:sz w:val="32"/>
          <w:szCs w:val="32"/>
          <w:shd w:val="clear" w:color="auto" w:fill="FFFFFF"/>
          <w:lang w:val="en-US" w:eastAsia="zh-CN"/>
        </w:rPr>
        <w:t>15条，完成任务的150%，提供投资工作信息207条，完成目标任务的130%；</w:t>
      </w:r>
      <w:r>
        <w:rPr>
          <w:rFonts w:hint="eastAsia" w:ascii="仿宋_GB2312" w:hAnsi="宋体" w:eastAsia="仿宋_GB2312" w:cs="仿宋"/>
          <w:color w:val="000000"/>
          <w:sz w:val="32"/>
          <w:szCs w:val="32"/>
          <w:shd w:val="clear" w:color="auto" w:fill="FFFFFF"/>
        </w:rPr>
        <w:t>完成驻地产业和经济社会发展调研报告</w:t>
      </w:r>
      <w:r>
        <w:rPr>
          <w:rFonts w:hint="eastAsia" w:ascii="仿宋_GB2312" w:hAnsi="宋体" w:eastAsia="仿宋_GB2312" w:cs="仿宋"/>
          <w:color w:val="000000"/>
          <w:sz w:val="32"/>
          <w:szCs w:val="32"/>
          <w:shd w:val="clear" w:color="auto" w:fill="FFFFFF"/>
          <w:lang w:val="en-US" w:eastAsia="zh-CN"/>
        </w:rPr>
        <w:t>3</w:t>
      </w:r>
      <w:r>
        <w:rPr>
          <w:rFonts w:hint="eastAsia" w:ascii="仿宋_GB2312" w:hAnsi="宋体" w:eastAsia="仿宋_GB2312" w:cs="仿宋"/>
          <w:color w:val="000000"/>
          <w:sz w:val="32"/>
          <w:szCs w:val="32"/>
          <w:shd w:val="clear" w:color="auto" w:fill="FFFFFF"/>
        </w:rPr>
        <w:t>篇</w:t>
      </w:r>
      <w:r>
        <w:rPr>
          <w:rFonts w:hint="eastAsia" w:ascii="仿宋_GB2312" w:hAnsi="宋体" w:eastAsia="仿宋_GB2312" w:cs="仿宋"/>
          <w:color w:val="000000"/>
          <w:sz w:val="32"/>
          <w:szCs w:val="32"/>
          <w:shd w:val="clear" w:color="auto" w:fill="FFFFFF"/>
          <w:lang w:eastAsia="zh-CN"/>
        </w:rPr>
        <w:t>；报送省委办公厅信息</w:t>
      </w:r>
      <w:r>
        <w:rPr>
          <w:rFonts w:hint="eastAsia" w:ascii="仿宋_GB2312" w:hAnsi="宋体" w:eastAsia="仿宋_GB2312" w:cs="仿宋"/>
          <w:color w:val="000000"/>
          <w:sz w:val="32"/>
          <w:szCs w:val="32"/>
          <w:shd w:val="clear" w:color="auto" w:fill="FFFFFF"/>
          <w:lang w:val="en-US" w:eastAsia="zh-CN"/>
        </w:rPr>
        <w:t>16条，</w:t>
      </w:r>
      <w:r>
        <w:rPr>
          <w:rFonts w:hint="eastAsia" w:ascii="仿宋_GB2312" w:hAnsi="宋体" w:eastAsia="仿宋_GB2312" w:cs="仿宋"/>
          <w:color w:val="000000"/>
          <w:sz w:val="32"/>
          <w:szCs w:val="32"/>
          <w:shd w:val="clear" w:color="auto" w:fill="FFFFFF"/>
        </w:rPr>
        <w:t>报送省政府办公厅信息</w:t>
      </w:r>
      <w:r>
        <w:rPr>
          <w:rFonts w:hint="eastAsia" w:ascii="仿宋_GB2312" w:hAnsi="宋体" w:eastAsia="仿宋_GB2312" w:cs="仿宋"/>
          <w:color w:val="000000"/>
          <w:sz w:val="32"/>
          <w:szCs w:val="32"/>
          <w:shd w:val="clear" w:color="auto" w:fill="FFFFFF"/>
          <w:lang w:val="en-US" w:eastAsia="zh-CN"/>
        </w:rPr>
        <w:t>500</w:t>
      </w:r>
      <w:r>
        <w:rPr>
          <w:rFonts w:hint="eastAsia" w:ascii="仿宋_GB2312" w:hAnsi="宋体" w:eastAsia="仿宋_GB2312" w:cs="仿宋"/>
          <w:color w:val="000000"/>
          <w:sz w:val="32"/>
          <w:szCs w:val="32"/>
          <w:shd w:val="clear" w:color="auto" w:fill="FFFFFF"/>
        </w:rPr>
        <w:t>余条，采用</w:t>
      </w:r>
      <w:r>
        <w:rPr>
          <w:rFonts w:hint="eastAsia" w:ascii="仿宋_GB2312" w:hAnsi="宋体" w:eastAsia="仿宋_GB2312" w:cs="仿宋"/>
          <w:color w:val="000000"/>
          <w:sz w:val="32"/>
          <w:szCs w:val="32"/>
          <w:shd w:val="clear" w:color="auto" w:fill="FFFFFF"/>
          <w:lang w:val="en-US" w:eastAsia="zh-CN"/>
        </w:rPr>
        <w:t>64</w:t>
      </w:r>
      <w:r>
        <w:rPr>
          <w:rFonts w:hint="eastAsia" w:ascii="仿宋_GB2312" w:hAnsi="宋体" w:eastAsia="仿宋_GB2312" w:cs="仿宋"/>
          <w:color w:val="000000"/>
          <w:sz w:val="32"/>
          <w:szCs w:val="32"/>
          <w:shd w:val="clear" w:color="auto" w:fill="FFFFFF"/>
        </w:rPr>
        <w:t>条。</w:t>
      </w:r>
    </w:p>
    <w:p>
      <w:pPr>
        <w:pStyle w:val="4"/>
        <w:numPr>
          <w:ilvl w:val="0"/>
          <w:numId w:val="0"/>
        </w:numPr>
        <w:ind w:left="418" w:leftChars="199" w:firstLine="0" w:firstLineChars="0"/>
        <w:rPr>
          <w:rFonts w:hint="eastAsia" w:ascii="黑体" w:hAnsi="黑体" w:eastAsia="黑体"/>
          <w:b w:val="0"/>
          <w:color w:val="auto"/>
          <w:highlight w:val="none"/>
          <w:lang w:eastAsia="zh-CN"/>
        </w:rPr>
      </w:pPr>
      <w:bookmarkStart w:id="16" w:name="_Toc15396602"/>
      <w:bookmarkStart w:id="17" w:name="_Toc15377204"/>
      <w:r>
        <w:rPr>
          <w:rFonts w:hint="eastAsia" w:ascii="黑体" w:hAnsi="黑体" w:eastAsia="黑体"/>
          <w:b w:val="0"/>
          <w:color w:val="auto"/>
          <w:highlight w:val="none"/>
          <w:lang w:val="en-US" w:eastAsia="zh-CN"/>
        </w:rPr>
        <w:t>三、机构设置情况</w:t>
      </w:r>
    </w:p>
    <w:p>
      <w:pPr>
        <w:overflowPunct w:val="0"/>
        <w:autoSpaceDE w:val="0"/>
        <w:autoSpaceDN w:val="0"/>
        <w:adjustRightInd w:val="0"/>
        <w:spacing w:line="560" w:lineRule="exact"/>
        <w:ind w:left="105" w:leftChars="50" w:firstLine="640" w:firstLineChars="200"/>
        <w:rPr>
          <w:rFonts w:hint="default" w:ascii="仿宋_GB2312" w:hAnsi="宋体" w:eastAsia="仿宋_GB2312" w:cs="仿宋"/>
          <w:color w:val="000000"/>
          <w:sz w:val="32"/>
          <w:szCs w:val="32"/>
          <w:shd w:val="clear" w:color="auto" w:fill="FFFFFF"/>
          <w:lang w:val="en-US"/>
        </w:rPr>
      </w:pPr>
      <w:r>
        <w:rPr>
          <w:rFonts w:hint="eastAsia" w:ascii="仿宋_GB2312" w:hAnsi="宋体" w:eastAsia="仿宋_GB2312" w:cs="仿宋"/>
          <w:color w:val="000000"/>
          <w:sz w:val="32"/>
          <w:szCs w:val="32"/>
          <w:shd w:val="clear" w:color="auto" w:fill="FFFFFF"/>
          <w:lang w:eastAsia="zh-CN"/>
        </w:rPr>
        <w:t>四川省人民政府驻重庆办事处由</w:t>
      </w:r>
      <w:r>
        <w:rPr>
          <w:rFonts w:hint="eastAsia" w:ascii="仿宋_GB2312" w:hAnsi="宋体" w:eastAsia="仿宋_GB2312" w:cs="仿宋"/>
          <w:color w:val="000000"/>
          <w:sz w:val="32"/>
          <w:szCs w:val="32"/>
          <w:shd w:val="clear" w:color="auto" w:fill="FFFFFF"/>
          <w:lang w:val="en-US" w:eastAsia="zh-CN"/>
        </w:rPr>
        <w:t>3个内设处室组成，分别是秘书处、经济合作与信息处、劳务工作处。</w:t>
      </w: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rPr>
      </w:pPr>
    </w:p>
    <w:p>
      <w:pPr>
        <w:rPr>
          <w:rFonts w:hint="eastAsia"/>
        </w:rPr>
      </w:pPr>
    </w:p>
    <w:p>
      <w:pPr>
        <w:pStyle w:val="3"/>
        <w:ind w:right="440"/>
        <w:jc w:val="center"/>
        <w:rPr>
          <w:rStyle w:val="24"/>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420" w:firstLineChars="200"/>
        <w:rPr>
          <w:rFonts w:hint="eastAsia" w:ascii="仿宋" w:hAnsi="仿宋" w:eastAsia="仿宋"/>
          <w:color w:val="auto"/>
          <w:sz w:val="32"/>
          <w:szCs w:val="32"/>
          <w:highlight w:val="none"/>
          <w:lang w:eastAsia="zh-CN"/>
        </w:rPr>
      </w:pPr>
      <w:r>
        <w:drawing>
          <wp:anchor distT="0" distB="0" distL="114300" distR="114300" simplePos="0" relativeHeight="251660288" behindDoc="1" locked="0" layoutInCell="1" allowOverlap="1">
            <wp:simplePos x="0" y="0"/>
            <wp:positionH relativeFrom="column">
              <wp:posOffset>242570</wp:posOffset>
            </wp:positionH>
            <wp:positionV relativeFrom="paragraph">
              <wp:posOffset>1195070</wp:posOffset>
            </wp:positionV>
            <wp:extent cx="5171440" cy="2419350"/>
            <wp:effectExtent l="4445" t="4445" r="5715" b="14605"/>
            <wp:wrapTight wrapText="bothSides">
              <wp:wrapPolygon>
                <wp:start x="-19" y="-40"/>
                <wp:lineTo x="-19" y="21560"/>
                <wp:lineTo x="21544" y="21560"/>
                <wp:lineTo x="21544" y="-40"/>
                <wp:lineTo x="-19" y="-40"/>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661.83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3.55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0.53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eastAsia="仿宋_GB2312"/>
          <w:bCs/>
          <w:color w:val="000000" w:themeColor="text1"/>
          <w:sz w:val="32"/>
          <w:szCs w:val="32"/>
          <w14:textFill>
            <w14:solidFill>
              <w14:schemeClr w14:val="tx1"/>
            </w14:solidFill>
          </w14:textFill>
        </w:rPr>
        <w:t>主</w:t>
      </w:r>
      <w:r>
        <w:rPr>
          <w:rFonts w:eastAsia="仿宋_GB2312"/>
          <w:bCs/>
          <w:sz w:val="32"/>
          <w:szCs w:val="32"/>
        </w:rPr>
        <w:t>要变动原因</w:t>
      </w:r>
      <w:r>
        <w:rPr>
          <w:rFonts w:hint="eastAsia" w:eastAsia="仿宋_GB2312"/>
          <w:bCs/>
          <w:sz w:val="32"/>
          <w:szCs w:val="32"/>
          <w:lang w:eastAsia="zh-CN"/>
        </w:rPr>
        <w:t>是</w:t>
      </w:r>
      <w:r>
        <w:rPr>
          <w:rFonts w:eastAsia="仿宋_GB2312"/>
          <w:color w:val="000000"/>
          <w:sz w:val="32"/>
          <w:szCs w:val="32"/>
        </w:rPr>
        <w:t>厉行节约压减支出</w:t>
      </w:r>
      <w:r>
        <w:rPr>
          <w:rFonts w:hint="eastAsia" w:ascii="仿宋" w:hAnsi="仿宋" w:eastAsia="仿宋"/>
          <w:color w:val="auto"/>
          <w:sz w:val="32"/>
          <w:szCs w:val="32"/>
          <w:highlight w:val="none"/>
          <w:lang w:eastAsia="zh-CN"/>
        </w:rPr>
        <w:t>。</w:t>
      </w:r>
    </w:p>
    <w:p>
      <w:pPr>
        <w:spacing w:line="600" w:lineRule="exact"/>
        <w:rPr>
          <w:rFonts w:hint="eastAsia" w:ascii="仿宋" w:hAnsi="仿宋" w:eastAsia="仿宋"/>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528.59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528.59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outlineLvl w:val="1"/>
      </w:pPr>
    </w:p>
    <w:p>
      <w:pPr>
        <w:spacing w:line="600" w:lineRule="exact"/>
        <w:ind w:firstLine="420" w:firstLineChars="200"/>
        <w:outlineLvl w:val="1"/>
      </w:pPr>
    </w:p>
    <w:p>
      <w:pPr>
        <w:spacing w:line="600" w:lineRule="exact"/>
        <w:ind w:firstLine="420" w:firstLineChars="200"/>
        <w:outlineLvl w:val="1"/>
      </w:pPr>
    </w:p>
    <w:p>
      <w:pPr>
        <w:spacing w:line="600" w:lineRule="exact"/>
        <w:ind w:firstLine="420" w:firstLineChars="200"/>
        <w:outlineLvl w:val="1"/>
      </w:pPr>
    </w:p>
    <w:p>
      <w:pPr>
        <w:spacing w:line="600" w:lineRule="exact"/>
        <w:ind w:firstLine="420" w:firstLineChars="200"/>
        <w:outlineLvl w:val="1"/>
      </w:pPr>
    </w:p>
    <w:p>
      <w:pPr>
        <w:spacing w:line="600" w:lineRule="exact"/>
        <w:ind w:firstLine="420" w:firstLineChars="200"/>
        <w:outlineLvl w:val="1"/>
      </w:pPr>
      <w:r>
        <w:drawing>
          <wp:anchor distT="0" distB="0" distL="0" distR="0" simplePos="0" relativeHeight="251659264" behindDoc="0" locked="0" layoutInCell="1" allowOverlap="1">
            <wp:simplePos x="0" y="0"/>
            <wp:positionH relativeFrom="column">
              <wp:posOffset>271145</wp:posOffset>
            </wp:positionH>
            <wp:positionV relativeFrom="paragraph">
              <wp:posOffset>-1805305</wp:posOffset>
            </wp:positionV>
            <wp:extent cx="5314950" cy="2416810"/>
            <wp:effectExtent l="4445" t="4445" r="14605" b="17145"/>
            <wp:wrapSquare wrapText="bothSides"/>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420" w:firstLineChars="200"/>
        <w:outlineLvl w:val="1"/>
      </w:pPr>
    </w:p>
    <w:p>
      <w:pPr>
        <w:spacing w:line="600" w:lineRule="exact"/>
        <w:ind w:firstLine="420" w:firstLineChars="200"/>
        <w:outlineLvl w:val="1"/>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599.05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388.59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64.87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210.46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35.13</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p>
    <w:p>
      <w:pPr>
        <w:pStyle w:val="2"/>
        <w:rPr>
          <w:rFonts w:ascii="仿宋" w:hAnsi="仿宋" w:eastAsia="仿宋"/>
          <w:color w:val="auto"/>
          <w:sz w:val="32"/>
          <w:szCs w:val="32"/>
          <w:highlight w:val="none"/>
          <w:shd w:val="pct10" w:color="auto" w:fill="FFFFFF"/>
        </w:rPr>
      </w:pPr>
      <w:r>
        <w:drawing>
          <wp:inline distT="0" distB="0" distL="114300" distR="114300">
            <wp:extent cx="5019040" cy="2534285"/>
            <wp:effectExtent l="4445" t="4445" r="5715" b="1397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661.83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3.55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0.53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eastAsia="仿宋_GB2312"/>
          <w:bCs/>
          <w:color w:val="000000" w:themeColor="text1"/>
          <w:sz w:val="32"/>
          <w:szCs w:val="32"/>
          <w14:textFill>
            <w14:solidFill>
              <w14:schemeClr w14:val="tx1"/>
            </w14:solidFill>
          </w14:textFill>
        </w:rPr>
        <w:t>主</w:t>
      </w:r>
      <w:r>
        <w:rPr>
          <w:rFonts w:eastAsia="仿宋_GB2312"/>
          <w:bCs/>
          <w:sz w:val="32"/>
          <w:szCs w:val="32"/>
        </w:rPr>
        <w:t>要变动原因</w:t>
      </w:r>
      <w:r>
        <w:rPr>
          <w:rFonts w:hint="eastAsia" w:eastAsia="仿宋_GB2312"/>
          <w:bCs/>
          <w:sz w:val="32"/>
          <w:szCs w:val="32"/>
          <w:lang w:eastAsia="zh-CN"/>
        </w:rPr>
        <w:t>是</w:t>
      </w:r>
      <w:r>
        <w:rPr>
          <w:rFonts w:eastAsia="仿宋_GB2312"/>
          <w:color w:val="000000"/>
          <w:sz w:val="32"/>
          <w:szCs w:val="32"/>
        </w:rPr>
        <w:t>厉行节约压减支出</w:t>
      </w:r>
      <w:r>
        <w:rPr>
          <w:rFonts w:hint="eastAsia" w:ascii="仿宋" w:hAnsi="仿宋" w:eastAsia="仿宋"/>
          <w:color w:val="auto"/>
          <w:sz w:val="32"/>
          <w:szCs w:val="32"/>
          <w:highlight w:val="none"/>
          <w:lang w:eastAsia="zh-CN"/>
        </w:rPr>
        <w:t>。</w:t>
      </w:r>
    </w:p>
    <w:p>
      <w:pPr>
        <w:pStyle w:val="2"/>
        <w:rPr>
          <w:rFonts w:ascii="仿宋" w:hAnsi="仿宋" w:eastAsia="仿宋"/>
          <w:color w:val="auto"/>
          <w:sz w:val="32"/>
          <w:szCs w:val="32"/>
          <w:highlight w:val="none"/>
        </w:rPr>
      </w:pPr>
      <w:r>
        <w:drawing>
          <wp:inline distT="0" distB="0" distL="114300" distR="114300">
            <wp:extent cx="4675505" cy="2475865"/>
            <wp:effectExtent l="4445" t="4445" r="6350" b="1524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_GB2312"/>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599.05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71.46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13.54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eastAsia="仿宋_GB2312"/>
          <w:bCs/>
          <w:sz w:val="32"/>
          <w:szCs w:val="32"/>
        </w:rPr>
        <w:t>主要变动原因一是增加了人员经费的开支</w:t>
      </w:r>
      <w:r>
        <w:rPr>
          <w:rFonts w:hint="eastAsia" w:eastAsia="仿宋_GB2312"/>
          <w:bCs/>
          <w:sz w:val="32"/>
          <w:szCs w:val="32"/>
          <w:lang w:eastAsia="zh-CN"/>
        </w:rPr>
        <w:t>；</w:t>
      </w:r>
      <w:r>
        <w:rPr>
          <w:rFonts w:hint="eastAsia" w:eastAsia="仿宋_GB2312"/>
          <w:bCs/>
          <w:sz w:val="32"/>
          <w:szCs w:val="32"/>
        </w:rPr>
        <w:t>二是增加了办公楼维修维护专项支出</w:t>
      </w:r>
      <w:r>
        <w:rPr>
          <w:rFonts w:hint="eastAsia" w:eastAsia="仿宋_GB2312"/>
          <w:bCs/>
          <w:sz w:val="32"/>
          <w:szCs w:val="32"/>
          <w:lang w:eastAsia="zh-CN"/>
        </w:rPr>
        <w:t>。</w:t>
      </w:r>
    </w:p>
    <w:p>
      <w:pPr>
        <w:pStyle w:val="2"/>
        <w:rPr>
          <w:rFonts w:hint="eastAsia" w:ascii="仿宋" w:hAnsi="仿宋" w:eastAsia="仿宋"/>
          <w:color w:val="auto"/>
          <w:sz w:val="32"/>
          <w:szCs w:val="32"/>
          <w:highlight w:val="none"/>
        </w:rPr>
      </w:pPr>
      <w:r>
        <w:drawing>
          <wp:inline distT="0" distB="0" distL="114300" distR="114300">
            <wp:extent cx="5437505" cy="3295015"/>
            <wp:effectExtent l="4445" t="4445" r="6350" b="15240"/>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599.05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524.21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87.51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0.41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35.01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5.84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17.64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2.94</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21.78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271145</wp:posOffset>
            </wp:positionH>
            <wp:positionV relativeFrom="paragraph">
              <wp:posOffset>109855</wp:posOffset>
            </wp:positionV>
            <wp:extent cx="5043170" cy="3780790"/>
            <wp:effectExtent l="4445" t="4445" r="19685" b="5715"/>
            <wp:wrapSquare wrapText="bothSides"/>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599.05万元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90.51</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000000"/>
          <w:sz w:val="32"/>
          <w:szCs w:val="32"/>
          <w:lang w:val="en-US" w:eastAsia="zh-CN"/>
        </w:rPr>
        <w:t>商贸事务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000000"/>
          <w:sz w:val="32"/>
          <w:szCs w:val="32"/>
          <w:lang w:val="en-US" w:eastAsia="zh-CN"/>
        </w:rPr>
        <w:t>行政运行</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313.75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97.12</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000000"/>
          <w:sz w:val="32"/>
          <w:szCs w:val="32"/>
        </w:rPr>
        <w:t>厉行节约压缩行政运行支出</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lang w:val="en-US" w:eastAsia="zh-CN"/>
        </w:rPr>
        <w:t>一般公共服务（类）商贸事务（款）一般行政管理事务（项）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87.50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86.12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Fonts w:hint="default" w:ascii="仿宋" w:hAnsi="仿宋" w:eastAsia="仿宋"/>
          <w:color w:val="000000"/>
          <w:sz w:val="32"/>
          <w:szCs w:val="24"/>
        </w:rPr>
        <w:t>预算数的主要原因是</w:t>
      </w:r>
      <w:r>
        <w:rPr>
          <w:rFonts w:hint="eastAsia" w:ascii="仿宋" w:hAnsi="仿宋" w:eastAsia="仿宋"/>
          <w:color w:val="000000"/>
          <w:sz w:val="32"/>
          <w:szCs w:val="24"/>
          <w:lang w:eastAsia="zh-CN"/>
        </w:rPr>
        <w:t>受新冠肺炎疫情影响</w:t>
      </w:r>
      <w:r>
        <w:rPr>
          <w:rFonts w:hint="default" w:ascii="仿宋" w:hAnsi="仿宋" w:eastAsia="仿宋"/>
          <w:color w:val="000000"/>
          <w:sz w:val="32"/>
          <w:szCs w:val="24"/>
        </w:rPr>
        <w:t>压减一般性事务支出</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lang w:val="en-US" w:eastAsia="zh-CN"/>
        </w:rPr>
        <w:t>一般公共服务（类）商贸事务（款）招商引资（项）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28.90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99.65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hint="eastAsia" w:ascii="仿宋" w:hAnsi="仿宋" w:eastAsia="仿宋"/>
          <w:b w:val="0"/>
          <w:bCs/>
          <w:color w:val="000000"/>
          <w:sz w:val="32"/>
          <w:szCs w:val="32"/>
          <w:lang w:val="en-US" w:eastAsia="zh-CN"/>
        </w:rPr>
        <w:t>预算数</w:t>
      </w:r>
      <w:r>
        <w:rPr>
          <w:rFonts w:hint="default" w:ascii="仿宋" w:hAnsi="仿宋" w:eastAsia="仿宋"/>
          <w:color w:val="000000"/>
          <w:sz w:val="32"/>
          <w:szCs w:val="24"/>
        </w:rPr>
        <w:t>的主要原因是压减招商经费支出</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lang w:val="en-US" w:eastAsia="zh-CN"/>
        </w:rPr>
        <w:t>一般公共服务（类）其他一般行政管理事务（款）其他一般行政管理事务（项）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94.06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70.59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，决算数小于预算数的主要原因是压减房屋维 修支出。</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lang w:val="en-US" w:eastAsia="zh-CN"/>
        </w:rPr>
        <w:t>教育支出（类）进修及培训（款）培训支出（项）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0.41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82.00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hint="eastAsia" w:ascii="仿宋" w:hAnsi="仿宋" w:eastAsia="仿宋"/>
          <w:b w:val="0"/>
          <w:bCs/>
          <w:color w:val="000000"/>
          <w:sz w:val="32"/>
          <w:szCs w:val="32"/>
          <w:lang w:val="en-US" w:eastAsia="zh-CN"/>
        </w:rPr>
        <w:t>预算数的</w:t>
      </w:r>
      <w:r>
        <w:rPr>
          <w:rFonts w:hint="default" w:ascii="仿宋" w:hAnsi="仿宋" w:eastAsia="仿宋"/>
          <w:color w:val="000000"/>
          <w:sz w:val="32"/>
          <w:szCs w:val="24"/>
        </w:rPr>
        <w:t>主要原因是</w:t>
      </w:r>
      <w:r>
        <w:rPr>
          <w:rFonts w:hint="eastAsia" w:ascii="仿宋" w:hAnsi="仿宋" w:eastAsia="仿宋"/>
          <w:color w:val="000000"/>
          <w:sz w:val="32"/>
          <w:szCs w:val="24"/>
          <w:lang w:val="en-US" w:eastAsia="zh-CN"/>
        </w:rPr>
        <w:t>受新冠肺炎疫情影响</w:t>
      </w:r>
      <w:r>
        <w:rPr>
          <w:rFonts w:hint="default" w:ascii="仿宋" w:hAnsi="仿宋" w:eastAsia="仿宋"/>
          <w:color w:val="000000"/>
          <w:sz w:val="32"/>
          <w:szCs w:val="24"/>
        </w:rPr>
        <w:t>压减培训规模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Style w:val="14"/>
          <w:rFonts w:hint="default" w:ascii="仿宋" w:hAnsi="仿宋" w:eastAsia="仿宋"/>
          <w:bCs/>
          <w:color w:val="000000"/>
          <w:sz w:val="32"/>
          <w:szCs w:val="32"/>
        </w:rPr>
        <w:t>社会保障和就业支出（类）行政事业单位养老支出（款）行政单位离退休（项）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12.07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99.83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，决算数小于预算数的主要原因是离休人员经费支出标准变化。</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cstheme="minorBidi"/>
          <w:bCs/>
          <w:color w:val="000000"/>
          <w:sz w:val="32"/>
          <w:szCs w:val="32"/>
          <w:lang w:val="en-US" w:eastAsia="zh-CN"/>
        </w:rPr>
        <w:t>7.</w:t>
      </w:r>
      <w:r>
        <w:rPr>
          <w:rStyle w:val="14"/>
          <w:rFonts w:hint="default" w:ascii="仿宋" w:hAnsi="仿宋" w:eastAsia="仿宋" w:cstheme="minorBidi"/>
          <w:bCs/>
          <w:color w:val="000000"/>
          <w:sz w:val="32"/>
          <w:szCs w:val="32"/>
        </w:rPr>
        <w:t>社会保障和就业支出（类）行政事业单位养老支出（款）机关事业单位基本养老保险缴费支出（项）: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22.94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hint="eastAsia" w:ascii="仿宋" w:hAnsi="仿宋" w:eastAsia="仿宋"/>
          <w:color w:val="000000"/>
          <w:sz w:val="32"/>
          <w:szCs w:val="24"/>
          <w:lang w:eastAsia="zh-CN"/>
        </w:rPr>
      </w:pPr>
      <w:r>
        <w:rPr>
          <w:rStyle w:val="14"/>
          <w:rFonts w:hint="eastAsia" w:ascii="仿宋" w:hAnsi="仿宋" w:eastAsia="仿宋" w:cstheme="minorBidi"/>
          <w:bCs/>
          <w:color w:val="000000"/>
          <w:sz w:val="32"/>
          <w:szCs w:val="32"/>
          <w:lang w:val="en-US" w:eastAsia="zh-CN"/>
        </w:rPr>
        <w:t>8.</w:t>
      </w:r>
      <w:r>
        <w:rPr>
          <w:rStyle w:val="14"/>
          <w:rFonts w:hint="default" w:ascii="仿宋" w:hAnsi="仿宋" w:eastAsia="仿宋" w:cstheme="minorBidi"/>
          <w:bCs/>
          <w:color w:val="000000"/>
          <w:sz w:val="32"/>
          <w:szCs w:val="32"/>
        </w:rPr>
        <w:t>卫生健康支出（类）行政事业单位医疗（款）行政单位医疗（项）:</w:t>
      </w:r>
      <w:r>
        <w:rPr>
          <w:rFonts w:hint="default" w:ascii="仿宋" w:hAnsi="仿宋" w:eastAsia="仿宋"/>
          <w:color w:val="000000"/>
          <w:sz w:val="32"/>
          <w:szCs w:val="24"/>
        </w:rPr>
        <w:t>支出决算为</w:t>
      </w:r>
      <w:r>
        <w:rPr>
          <w:rFonts w:hint="eastAsia" w:ascii="仿宋" w:hAnsi="仿宋" w:eastAsia="仿宋"/>
          <w:color w:val="000000"/>
          <w:sz w:val="32"/>
          <w:szCs w:val="24"/>
          <w:lang w:val="en-US" w:eastAsia="zh-CN"/>
        </w:rPr>
        <w:t>15.06</w:t>
      </w:r>
      <w:r>
        <w:rPr>
          <w:rFonts w:hint="default" w:ascii="仿宋" w:hAnsi="仿宋" w:eastAsia="仿宋"/>
          <w:color w:val="000000"/>
          <w:sz w:val="32"/>
          <w:szCs w:val="24"/>
        </w:rPr>
        <w:t>万元，完成预算</w:t>
      </w:r>
      <w:r>
        <w:rPr>
          <w:rFonts w:hint="eastAsia" w:ascii="仿宋" w:hAnsi="仿宋" w:eastAsia="仿宋"/>
          <w:color w:val="000000"/>
          <w:sz w:val="32"/>
          <w:szCs w:val="24"/>
          <w:lang w:val="en-US" w:eastAsia="zh-CN"/>
        </w:rPr>
        <w:t>100</w:t>
      </w:r>
      <w:r>
        <w:rPr>
          <w:rFonts w:hint="default" w:ascii="仿宋" w:hAnsi="仿宋" w:eastAsia="仿宋"/>
          <w:color w:val="000000"/>
          <w:sz w:val="32"/>
          <w:szCs w:val="24"/>
        </w:rPr>
        <w:t>%，决算数</w:t>
      </w:r>
      <w:r>
        <w:rPr>
          <w:rFonts w:hint="eastAsia" w:ascii="仿宋" w:hAnsi="仿宋" w:eastAsia="仿宋"/>
          <w:color w:val="000000"/>
          <w:sz w:val="32"/>
          <w:szCs w:val="24"/>
          <w:lang w:val="en-US" w:eastAsia="zh-CN"/>
        </w:rPr>
        <w:t>等</w:t>
      </w:r>
      <w:r>
        <w:rPr>
          <w:rFonts w:hint="default" w:ascii="仿宋" w:hAnsi="仿宋" w:eastAsia="仿宋"/>
          <w:color w:val="000000"/>
          <w:sz w:val="32"/>
          <w:szCs w:val="24"/>
        </w:rPr>
        <w:t>于预算数</w:t>
      </w:r>
      <w:r>
        <w:rPr>
          <w:rFonts w:hint="eastAsia" w:ascii="仿宋" w:hAnsi="仿宋" w:eastAsia="仿宋"/>
          <w:color w:val="000000"/>
          <w:sz w:val="32"/>
          <w:szCs w:val="24"/>
          <w:lang w:eastAsia="zh-CN"/>
        </w:rPr>
        <w:t>。</w:t>
      </w:r>
    </w:p>
    <w:p>
      <w:pPr>
        <w:spacing w:line="600" w:lineRule="exact"/>
        <w:ind w:firstLine="643" w:firstLineChars="200"/>
        <w:rPr>
          <w:rFonts w:hint="default" w:ascii="仿宋" w:hAnsi="仿宋" w:eastAsia="仿宋"/>
          <w:color w:val="000000"/>
          <w:sz w:val="32"/>
          <w:szCs w:val="24"/>
        </w:rPr>
      </w:pPr>
      <w:r>
        <w:rPr>
          <w:rStyle w:val="14"/>
          <w:rFonts w:hint="eastAsia" w:ascii="仿宋" w:hAnsi="仿宋" w:eastAsia="仿宋" w:cstheme="minorBidi"/>
          <w:bCs/>
          <w:color w:val="000000"/>
          <w:sz w:val="32"/>
          <w:szCs w:val="32"/>
          <w:lang w:val="en-US" w:eastAsia="zh-CN"/>
        </w:rPr>
        <w:t>9.</w:t>
      </w:r>
      <w:r>
        <w:rPr>
          <w:rStyle w:val="14"/>
          <w:rFonts w:hint="default" w:ascii="仿宋" w:hAnsi="仿宋" w:eastAsia="仿宋" w:cstheme="minorBidi"/>
          <w:bCs/>
          <w:color w:val="000000"/>
          <w:sz w:val="32"/>
          <w:szCs w:val="32"/>
        </w:rPr>
        <w:t>卫生健康支出（类）行政事业单位医疗（款）公务员医疗补助（项）:</w:t>
      </w:r>
      <w:r>
        <w:rPr>
          <w:rFonts w:hint="default" w:ascii="仿宋" w:hAnsi="仿宋" w:eastAsia="仿宋"/>
          <w:color w:val="000000"/>
          <w:sz w:val="32"/>
          <w:szCs w:val="24"/>
        </w:rPr>
        <w:t>支出决算为</w:t>
      </w:r>
      <w:r>
        <w:rPr>
          <w:rFonts w:hint="eastAsia" w:ascii="仿宋" w:hAnsi="仿宋" w:eastAsia="仿宋"/>
          <w:color w:val="000000"/>
          <w:sz w:val="32"/>
          <w:szCs w:val="24"/>
          <w:lang w:val="en-US" w:eastAsia="zh-CN"/>
        </w:rPr>
        <w:t>2.58</w:t>
      </w:r>
      <w:r>
        <w:rPr>
          <w:rFonts w:hint="default" w:ascii="仿宋" w:hAnsi="仿宋" w:eastAsia="仿宋"/>
          <w:color w:val="000000"/>
          <w:sz w:val="32"/>
          <w:szCs w:val="24"/>
        </w:rPr>
        <w:t>万元，完成预算</w:t>
      </w:r>
      <w:r>
        <w:rPr>
          <w:rFonts w:hint="eastAsia" w:ascii="仿宋" w:hAnsi="仿宋" w:eastAsia="仿宋"/>
          <w:color w:val="000000"/>
          <w:sz w:val="32"/>
          <w:szCs w:val="24"/>
          <w:lang w:val="en-US" w:eastAsia="zh-CN"/>
        </w:rPr>
        <w:t>100</w:t>
      </w:r>
      <w:r>
        <w:rPr>
          <w:rFonts w:hint="default" w:ascii="仿宋" w:hAnsi="仿宋" w:eastAsia="仿宋"/>
          <w:color w:val="000000"/>
          <w:sz w:val="32"/>
          <w:szCs w:val="24"/>
        </w:rPr>
        <w:t>%，</w:t>
      </w:r>
      <w:r>
        <w:rPr>
          <w:rStyle w:val="14"/>
          <w:rFonts w:hint="eastAsia" w:ascii="仿宋" w:hAnsi="仿宋" w:eastAsia="仿宋"/>
          <w:b w:val="0"/>
          <w:bCs/>
          <w:color w:val="000000"/>
          <w:sz w:val="32"/>
          <w:szCs w:val="32"/>
        </w:rPr>
        <w:t>决算数等于预算数</w:t>
      </w:r>
      <w:r>
        <w:rPr>
          <w:rFonts w:hint="default" w:ascii="仿宋" w:hAnsi="仿宋" w:eastAsia="仿宋"/>
          <w:color w:val="000000"/>
          <w:sz w:val="32"/>
          <w:szCs w:val="24"/>
        </w:rPr>
        <w:t>。</w:t>
      </w:r>
    </w:p>
    <w:p>
      <w:pPr>
        <w:spacing w:line="600" w:lineRule="exact"/>
        <w:ind w:firstLine="643" w:firstLineChars="200"/>
        <w:rPr>
          <w:rFonts w:hint="eastAsia" w:ascii="仿宋" w:hAnsi="仿宋" w:eastAsia="仿宋"/>
          <w:color w:val="000000"/>
          <w:sz w:val="32"/>
          <w:szCs w:val="24"/>
          <w:lang w:eastAsia="zh-CN"/>
        </w:rPr>
      </w:pPr>
      <w:r>
        <w:rPr>
          <w:rStyle w:val="14"/>
          <w:rFonts w:hint="eastAsia" w:ascii="仿宋" w:hAnsi="仿宋" w:eastAsia="仿宋" w:cstheme="minorBidi"/>
          <w:bCs/>
          <w:color w:val="000000"/>
          <w:sz w:val="32"/>
          <w:szCs w:val="32"/>
          <w:lang w:val="en-US" w:eastAsia="zh-CN"/>
        </w:rPr>
        <w:t>10.住房保障支出（类）住房改革支出（款）住房公积金（项）</w:t>
      </w:r>
      <w:r>
        <w:rPr>
          <w:rStyle w:val="14"/>
          <w:rFonts w:hint="default" w:ascii="仿宋" w:hAnsi="仿宋" w:eastAsia="仿宋" w:cstheme="minorBidi"/>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21.78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Fonts w:hint="eastAsia" w:ascii="仿宋" w:hAnsi="仿宋" w:eastAsia="仿宋"/>
          <w:color w:val="000000"/>
          <w:sz w:val="32"/>
          <w:szCs w:val="24"/>
          <w:lang w:eastAsia="zh-CN"/>
        </w:rPr>
        <w:t>。</w:t>
      </w: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388.59</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281.24</w:t>
      </w:r>
      <w:r>
        <w:rPr>
          <w:rFonts w:hint="eastAsia" w:ascii="仿宋" w:hAnsi="仿宋" w:eastAsia="仿宋"/>
          <w:color w:val="auto"/>
          <w:sz w:val="32"/>
          <w:szCs w:val="32"/>
          <w:highlight w:val="none"/>
        </w:rPr>
        <w:t>万元，主要包括：</w:t>
      </w:r>
      <w:r>
        <w:rPr>
          <w:rFonts w:eastAsia="仿宋_GB2312"/>
          <w:sz w:val="32"/>
          <w:szCs w:val="32"/>
        </w:rPr>
        <w:t>基本工资、津贴补贴、奖金、机关事业单位基本养老保险缴费、职工基本医疗保险缴费、公务员医疗补助缴费、其他工资福利支出、离休费、退休费、奖励金、住房公积金、其他对个人和家庭的补助支出等。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107.35</w:t>
      </w:r>
      <w:r>
        <w:rPr>
          <w:rFonts w:hint="eastAsia" w:ascii="仿宋" w:hAnsi="仿宋" w:eastAsia="仿宋"/>
          <w:color w:val="auto"/>
          <w:sz w:val="32"/>
          <w:szCs w:val="32"/>
          <w:highlight w:val="none"/>
        </w:rPr>
        <w:t>万元，主要包括：</w:t>
      </w:r>
      <w:r>
        <w:rPr>
          <w:rFonts w:hint="eastAsia" w:ascii="仿宋" w:hAnsi="仿宋" w:eastAsia="仿宋"/>
          <w:color w:val="000000"/>
          <w:sz w:val="32"/>
          <w:szCs w:val="32"/>
        </w:rPr>
        <w:t>办公费、印刷费、咨询费、手续费、水费、电费、邮电费、物业管理费、差旅费、维修（护）费、租赁费、会议费、培训费、公务接待费、劳务费、委托业务费、工会经费、福利费、公务用车运行维护费、其他交通费、其他商品和服务支出</w:t>
      </w:r>
      <w:r>
        <w:rPr>
          <w:rFonts w:hint="eastAsia" w:ascii="仿宋" w:hAnsi="仿宋" w:eastAsia="仿宋"/>
          <w:color w:val="auto"/>
          <w:sz w:val="32"/>
          <w:szCs w:val="32"/>
          <w:highlight w:val="none"/>
        </w:rPr>
        <w:t>等。</w:t>
      </w: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10.72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42.88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eastAsia="仿宋_GB2312"/>
          <w:sz w:val="32"/>
          <w:szCs w:val="32"/>
        </w:rPr>
        <w:t>决算数小于预算数的主要原因是厉行节约大力压缩</w:t>
      </w:r>
      <w:r>
        <w:rPr>
          <w:rFonts w:hint="eastAsia" w:ascii="仿宋" w:hAnsi="仿宋" w:eastAsia="仿宋"/>
          <w:color w:val="auto"/>
          <w:sz w:val="32"/>
          <w:szCs w:val="32"/>
          <w:highlight w:val="none"/>
        </w:rPr>
        <w:t>“三公”</w:t>
      </w:r>
      <w:r>
        <w:rPr>
          <w:rFonts w:hint="eastAsia" w:eastAsia="仿宋_GB2312"/>
          <w:sz w:val="32"/>
          <w:szCs w:val="32"/>
        </w:rPr>
        <w:t>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19.78</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8.60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80.22</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r>
        <w:drawing>
          <wp:inline distT="0" distB="0" distL="114300" distR="114300">
            <wp:extent cx="5270500" cy="2163445"/>
            <wp:effectExtent l="4445" t="4445" r="20955" b="22860"/>
            <wp:docPr id="1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eastAsia="仿宋_GB2312"/>
          <w:sz w:val="32"/>
          <w:szCs w:val="32"/>
        </w:rPr>
        <w:t>因公出国（境）支出决算与2020年持平。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2.12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21.20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7.39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77.71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。主要原因是受新冠肺炎疫情影响减少公务用车使用。</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2.12</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w:t>
      </w:r>
      <w:r>
        <w:rPr>
          <w:rFonts w:hint="default" w:ascii="FangSong_GB2312" w:hAnsi="FangSong_GB2312" w:eastAsia="FangSong_GB2312"/>
          <w:color w:val="000000"/>
          <w:sz w:val="32"/>
          <w:szCs w:val="24"/>
        </w:rPr>
        <w:t>和办事处开展投资促进工作</w:t>
      </w:r>
      <w:r>
        <w:rPr>
          <w:rFonts w:hint="eastAsia" w:ascii="FangSong_GB2312" w:hAnsi="FangSong_GB2312" w:eastAsia="FangSong_GB2312"/>
          <w:color w:val="000000"/>
          <w:sz w:val="32"/>
          <w:szCs w:val="24"/>
          <w:lang w:eastAsia="zh-CN"/>
        </w:rPr>
        <w:t>、</w:t>
      </w:r>
      <w:r>
        <w:rPr>
          <w:rFonts w:hint="eastAsia" w:ascii="FangSong_GB2312" w:hAnsi="FangSong_GB2312" w:eastAsia="FangSong_GB2312"/>
          <w:color w:val="000000"/>
          <w:sz w:val="32"/>
          <w:szCs w:val="24"/>
          <w:lang w:val="en-US" w:eastAsia="zh-CN"/>
        </w:rPr>
        <w:t>公务活动</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8.60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57.33</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10.37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54.64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。主要原因是受新冠肺炎疫情影响减少</w:t>
      </w:r>
      <w:r>
        <w:rPr>
          <w:rFonts w:hint="eastAsia" w:ascii="仿宋_GB2312" w:eastAsia="仿宋_GB2312"/>
          <w:color w:val="auto"/>
          <w:sz w:val="32"/>
          <w:szCs w:val="32"/>
          <w:highlight w:val="none"/>
          <w:lang w:eastAsia="zh-CN"/>
        </w:rPr>
        <w:t>公务接待</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8.60</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w:t>
      </w:r>
      <w:r>
        <w:rPr>
          <w:rFonts w:hint="default" w:ascii="FangSong_GB2312" w:hAnsi="FangSong_GB2312" w:eastAsia="FangSong_GB2312"/>
          <w:color w:val="000000"/>
          <w:sz w:val="32"/>
          <w:szCs w:val="24"/>
        </w:rPr>
        <w:t>开展投资促活动、执行公务、开展业务活动开支的交通费、住宿费、用餐费等。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70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716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8.60</w:t>
      </w:r>
      <w:r>
        <w:rPr>
          <w:rFonts w:hint="eastAsia" w:ascii="仿宋_GB2312" w:eastAsia="仿宋_GB2312"/>
          <w:color w:val="auto"/>
          <w:sz w:val="32"/>
          <w:szCs w:val="32"/>
          <w:highlight w:val="none"/>
        </w:rPr>
        <w:t>万元，具体内容包括：</w:t>
      </w:r>
      <w:r>
        <w:rPr>
          <w:rFonts w:hint="default" w:ascii="FangSong_GB2312" w:hAnsi="FangSong_GB2312" w:eastAsia="FangSong_GB2312"/>
          <w:color w:val="000000"/>
          <w:sz w:val="32"/>
          <w:szCs w:val="24"/>
        </w:rPr>
        <w:t>举办20</w:t>
      </w:r>
      <w:r>
        <w:rPr>
          <w:rFonts w:hint="eastAsia" w:ascii="FangSong_GB2312" w:hAnsi="FangSong_GB2312" w:eastAsia="FangSong_GB2312"/>
          <w:color w:val="000000"/>
          <w:sz w:val="32"/>
          <w:szCs w:val="24"/>
          <w:lang w:val="en-US" w:eastAsia="zh-CN"/>
        </w:rPr>
        <w:t>21</w:t>
      </w:r>
      <w:r>
        <w:rPr>
          <w:rFonts w:hint="default" w:ascii="FangSong_GB2312" w:hAnsi="FangSong_GB2312" w:eastAsia="FangSong_GB2312"/>
          <w:color w:val="000000"/>
          <w:sz w:val="32"/>
          <w:szCs w:val="24"/>
        </w:rPr>
        <w:t>中外知名企业四川行等系列重大投资促进活动，以及日常开展投资促进活动的客商接待</w:t>
      </w:r>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25"/>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lang w:val="en-US" w:eastAsia="zh-CN"/>
        </w:rPr>
        <w:t>四川省人民政府驻重庆办事处</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107.34</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17.48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14.00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000000" w:themeColor="text1"/>
          <w:sz w:val="32"/>
          <w:szCs w:val="32"/>
          <w14:textFill>
            <w14:solidFill>
              <w14:schemeClr w14:val="tx1"/>
            </w14:solidFill>
          </w14:textFill>
        </w:rPr>
        <w:t>厉行节约，压缩</w:t>
      </w:r>
      <w:r>
        <w:rPr>
          <w:rFonts w:hint="eastAsia" w:ascii="仿宋_GB2312" w:eastAsia="仿宋_GB2312"/>
          <w:color w:val="auto"/>
          <w:sz w:val="32"/>
          <w:szCs w:val="32"/>
          <w:highlight w:val="none"/>
        </w:rPr>
        <w:t>公务用车</w:t>
      </w:r>
      <w:r>
        <w:rPr>
          <w:rFonts w:hint="eastAsia" w:ascii="仿宋_GB2312" w:eastAsia="仿宋_GB2312"/>
          <w:color w:val="000000" w:themeColor="text1"/>
          <w:sz w:val="32"/>
          <w:szCs w:val="32"/>
          <w14:textFill>
            <w14:solidFill>
              <w14:schemeClr w14:val="tx1"/>
            </w14:solidFill>
          </w14:textFill>
        </w:rPr>
        <w:t>和公务接待费等支出</w:t>
      </w:r>
      <w:r>
        <w:rPr>
          <w:rFonts w:hint="eastAsia" w:ascii="仿宋_GB2312" w:eastAsia="仿宋_GB2312"/>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lang w:val="en-US" w:eastAsia="zh-CN"/>
        </w:rPr>
        <w:t>四川省人民政府驻重庆办事处</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100.39</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6.33</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94.06</w:t>
      </w:r>
      <w:r>
        <w:rPr>
          <w:rFonts w:hint="eastAsia" w:ascii="仿宋_GB2312" w:eastAsia="仿宋_GB2312"/>
          <w:color w:val="auto"/>
          <w:sz w:val="32"/>
          <w:szCs w:val="32"/>
          <w:highlight w:val="none"/>
        </w:rPr>
        <w:t>万元。主要用于</w:t>
      </w:r>
      <w:r>
        <w:rPr>
          <w:rFonts w:eastAsia="仿宋_GB2312"/>
          <w:sz w:val="32"/>
          <w:szCs w:val="32"/>
        </w:rPr>
        <w:t>主要用于办公设备采购支出、办公楼维修维护支出、开展招商引资和劳务慰问等工作需要的车辆维修保养、燃油费、保险费等服务支出</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94.06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93.69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6.33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6.31</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lang w:val="en-US" w:eastAsia="zh-CN"/>
        </w:rPr>
        <w:t>四川省人民政府驻重庆办事处</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val="en-US" w:eastAsia="zh-CN"/>
          <w14:textFill>
            <w14:solidFill>
              <w14:schemeClr w14:val="tx1"/>
            </w14:solidFill>
          </w14:textFill>
        </w:rPr>
        <w:t>开展投资促进活动。</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办公用房维修</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1个项目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spacing w:line="600" w:lineRule="exact"/>
        <w:ind w:firstLine="640"/>
        <w:rPr>
          <w:rFonts w:eastAsia="仿宋_GB2312"/>
          <w:sz w:val="32"/>
          <w:szCs w:val="32"/>
        </w:rPr>
      </w:pPr>
      <w:r>
        <w:rPr>
          <w:rFonts w:eastAsia="仿宋_GB2312"/>
          <w:sz w:val="32"/>
          <w:szCs w:val="32"/>
        </w:rPr>
        <w:t>1.</w:t>
      </w:r>
      <w:r>
        <w:rPr>
          <w:rFonts w:hint="eastAsia" w:eastAsia="仿宋_GB2312"/>
          <w:sz w:val="32"/>
          <w:szCs w:val="32"/>
        </w:rPr>
        <w:t>财政拨款收入：指单位从同级财政部门取得的财政预算资金。</w:t>
      </w:r>
    </w:p>
    <w:p>
      <w:pPr>
        <w:spacing w:line="600" w:lineRule="exact"/>
        <w:ind w:firstLine="64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年初结转和结余：指以前年度尚未完成、结转到本年按有关规定继续使用的资金。</w:t>
      </w:r>
    </w:p>
    <w:p>
      <w:pPr>
        <w:spacing w:line="600" w:lineRule="exact"/>
        <w:ind w:firstLine="64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结余分配：指事业单位按照会计制度规定缴纳的所得税、提取的专用结余以及转入非财政拨款结余的金额等。</w:t>
      </w:r>
    </w:p>
    <w:p>
      <w:pPr>
        <w:spacing w:line="600" w:lineRule="exact"/>
        <w:ind w:firstLine="640"/>
        <w:rPr>
          <w:rFonts w:eastAsia="仿宋_GB2312"/>
          <w:sz w:val="32"/>
          <w:szCs w:val="32"/>
        </w:rPr>
      </w:pPr>
      <w:r>
        <w:rPr>
          <w:rFonts w:hint="eastAsia" w:eastAsia="仿宋_GB2312"/>
          <w:sz w:val="32"/>
          <w:szCs w:val="32"/>
        </w:rPr>
        <w:t>4.年末结转和结余：指单位按有关规定结转到下年或以后年度继续使用的资金。</w:t>
      </w:r>
    </w:p>
    <w:p>
      <w:pPr>
        <w:spacing w:line="600" w:lineRule="exact"/>
        <w:ind w:firstLine="640"/>
        <w:rPr>
          <w:rFonts w:eastAsia="仿宋_GB2312"/>
          <w:sz w:val="32"/>
          <w:szCs w:val="32"/>
        </w:rPr>
      </w:pPr>
      <w:r>
        <w:rPr>
          <w:rFonts w:eastAsia="仿宋_GB2312"/>
          <w:sz w:val="32"/>
          <w:szCs w:val="32"/>
        </w:rPr>
        <w:t>5.一般公共服务（类）商贸事务（款）行政运行（项）: 指用于保障机构正常运行、开展日常工作的基本支出。</w:t>
      </w:r>
    </w:p>
    <w:p>
      <w:pPr>
        <w:spacing w:line="600" w:lineRule="exact"/>
        <w:ind w:firstLine="640"/>
        <w:rPr>
          <w:rFonts w:eastAsia="仿宋_GB2312"/>
          <w:sz w:val="32"/>
          <w:szCs w:val="32"/>
        </w:rPr>
      </w:pPr>
      <w:r>
        <w:rPr>
          <w:rFonts w:eastAsia="仿宋_GB2312"/>
          <w:sz w:val="32"/>
          <w:szCs w:val="32"/>
        </w:rPr>
        <w:t>6.一般公共服务（类）商贸事务（款）一般行政管理事务（项）: 指反映行政单位（包括实行公务员管理的事业单位）未单独设置项级科目的其他项目支出。</w:t>
      </w:r>
    </w:p>
    <w:p>
      <w:pPr>
        <w:spacing w:line="600" w:lineRule="exact"/>
        <w:ind w:firstLine="640"/>
        <w:rPr>
          <w:rFonts w:eastAsia="仿宋_GB2312"/>
          <w:sz w:val="32"/>
          <w:szCs w:val="32"/>
        </w:rPr>
      </w:pPr>
      <w:r>
        <w:rPr>
          <w:rFonts w:eastAsia="仿宋_GB2312"/>
          <w:sz w:val="32"/>
          <w:szCs w:val="32"/>
        </w:rPr>
        <w:t>7.一般公共服务（类）商贸事务（款）招商引资（项）: 指反映用于招商引资、优化经济环境等方面的支出。</w:t>
      </w:r>
    </w:p>
    <w:p>
      <w:pPr>
        <w:spacing w:line="600" w:lineRule="exact"/>
        <w:ind w:firstLine="640"/>
        <w:rPr>
          <w:rFonts w:eastAsia="仿宋_GB2312"/>
          <w:sz w:val="32"/>
          <w:szCs w:val="32"/>
        </w:rPr>
      </w:pPr>
      <w:r>
        <w:rPr>
          <w:rFonts w:hint="eastAsia" w:eastAsia="仿宋_GB2312"/>
          <w:sz w:val="32"/>
          <w:szCs w:val="32"/>
        </w:rPr>
        <w:t>8.社会保障和就业（类）行政事业单位养老支出（款）未归口管理的行政单位离退休（项）: 指反映未实行归口管理的行政单位（包括实行公务员管理的事业单位）开支的离退休支出。</w:t>
      </w:r>
    </w:p>
    <w:p>
      <w:pPr>
        <w:spacing w:line="600" w:lineRule="exact"/>
        <w:ind w:firstLine="640"/>
        <w:rPr>
          <w:rFonts w:eastAsia="仿宋_GB2312"/>
          <w:sz w:val="32"/>
          <w:szCs w:val="32"/>
        </w:rPr>
      </w:pPr>
      <w:r>
        <w:rPr>
          <w:rFonts w:hint="eastAsia" w:eastAsia="仿宋_GB2312"/>
          <w:sz w:val="32"/>
          <w:szCs w:val="32"/>
        </w:rPr>
        <w:t>9.社会保障和就业（类）行政事业单位养老支出（款）机关事业单位基本养老保险缴费支出（项）: 指反映机关事业单位实施养老保险制度由单位缴纳的基本保险费支出。</w:t>
      </w:r>
    </w:p>
    <w:p>
      <w:pPr>
        <w:spacing w:line="600" w:lineRule="exact"/>
        <w:ind w:firstLine="640"/>
        <w:rPr>
          <w:rFonts w:eastAsia="仿宋_GB2312"/>
          <w:sz w:val="32"/>
          <w:szCs w:val="32"/>
        </w:rPr>
      </w:pPr>
      <w:r>
        <w:rPr>
          <w:rFonts w:hint="eastAsia" w:eastAsia="仿宋_GB2312"/>
          <w:sz w:val="32"/>
          <w:szCs w:val="32"/>
        </w:rPr>
        <w:t>10.卫生健康支出（类）行政事业单位医疗（款）行政单位医疗（项）: 指反映财政部门集中安排的行政单位基本医疗保险缴费经费，未参加医疗保险的行政单位的公费医疗经费，按国家规定享受离休人员、红军老战士待遇人员的医疗经费。</w:t>
      </w:r>
    </w:p>
    <w:p>
      <w:pPr>
        <w:spacing w:line="600" w:lineRule="exact"/>
        <w:ind w:firstLine="640"/>
        <w:rPr>
          <w:rFonts w:eastAsia="仿宋_GB2312"/>
          <w:sz w:val="32"/>
          <w:szCs w:val="32"/>
        </w:rPr>
      </w:pPr>
      <w:r>
        <w:rPr>
          <w:rFonts w:hint="eastAsia" w:eastAsia="仿宋_GB2312"/>
          <w:sz w:val="32"/>
          <w:szCs w:val="32"/>
        </w:rPr>
        <w:t>11.卫生健康支出（类）行政事业单位医疗（款）事业单位医疗（项）: 指反映财政部门集中安排的事业单位基本医疗保险缴费经费，未参加医疗保险的事业单位的公费医疗经费，按国家规定享受离休人员待遇的医疗经费。</w:t>
      </w:r>
    </w:p>
    <w:p>
      <w:pPr>
        <w:spacing w:line="600" w:lineRule="exact"/>
        <w:ind w:firstLine="640"/>
        <w:rPr>
          <w:rFonts w:eastAsia="仿宋_GB2312"/>
          <w:sz w:val="32"/>
          <w:szCs w:val="32"/>
        </w:rPr>
      </w:pPr>
      <w:r>
        <w:rPr>
          <w:rFonts w:hint="eastAsia" w:eastAsia="仿宋_GB2312"/>
          <w:sz w:val="32"/>
          <w:szCs w:val="32"/>
        </w:rPr>
        <w:t>12.卫生健康支出（类）行政事业单位医疗（款）公务员医疗补助（项）: 指反映财政部门集中安排的公务员医疗补助经费。</w:t>
      </w:r>
    </w:p>
    <w:p>
      <w:pPr>
        <w:spacing w:line="600" w:lineRule="exact"/>
        <w:ind w:firstLine="640"/>
        <w:rPr>
          <w:rFonts w:eastAsia="仿宋_GB2312"/>
          <w:sz w:val="32"/>
          <w:szCs w:val="32"/>
        </w:rPr>
      </w:pPr>
      <w:r>
        <w:rPr>
          <w:rFonts w:hint="eastAsia" w:eastAsia="仿宋_GB2312"/>
          <w:sz w:val="32"/>
          <w:szCs w:val="32"/>
        </w:rPr>
        <w:t>13.住房保障支出（类）住房改革（款）住房公积金（项）: 指反映行政事业单位按人力资源和社会保障部、财政部规定的基本工资和津贴补贴以及规定比例为职工缴纳的住房公积金。</w:t>
      </w:r>
    </w:p>
    <w:p>
      <w:pPr>
        <w:spacing w:line="600" w:lineRule="exact"/>
        <w:ind w:firstLine="640"/>
        <w:rPr>
          <w:rFonts w:eastAsia="仿宋_GB2312"/>
          <w:sz w:val="32"/>
          <w:szCs w:val="32"/>
        </w:rPr>
      </w:pPr>
      <w:r>
        <w:rPr>
          <w:rFonts w:hint="eastAsia" w:eastAsia="仿宋_GB2312"/>
          <w:sz w:val="32"/>
          <w:szCs w:val="32"/>
        </w:rPr>
        <w:t>14</w:t>
      </w:r>
      <w:r>
        <w:rPr>
          <w:rFonts w:eastAsia="仿宋_GB2312"/>
          <w:sz w:val="32"/>
          <w:szCs w:val="32"/>
        </w:rPr>
        <w:t>.</w:t>
      </w:r>
      <w:r>
        <w:rPr>
          <w:rFonts w:hint="eastAsia" w:eastAsia="仿宋_GB2312"/>
          <w:sz w:val="32"/>
          <w:szCs w:val="32"/>
        </w:rPr>
        <w:t>基本支出：指为保障机构正常运转、完成日常工作任务而发生的人员支出和公用支出。</w:t>
      </w:r>
    </w:p>
    <w:p>
      <w:pPr>
        <w:spacing w:line="600" w:lineRule="exact"/>
        <w:ind w:firstLine="640"/>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项目支出：指在基本支出之外为完成特定行政任务和事业发展目标所发生的支出。</w:t>
      </w:r>
    </w:p>
    <w:p>
      <w:pPr>
        <w:spacing w:line="600" w:lineRule="exact"/>
        <w:ind w:firstLine="640"/>
        <w:rPr>
          <w:rFonts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eastAsia="仿宋_GB2312"/>
          <w:sz w:val="32"/>
          <w:szCs w:val="32"/>
        </w:rPr>
      </w:pPr>
      <w:r>
        <w:rPr>
          <w:rFonts w:hint="eastAsia" w:eastAsia="仿宋_GB2312"/>
          <w:sz w:val="32"/>
          <w:szCs w:val="32"/>
        </w:rPr>
        <w:t>17</w:t>
      </w:r>
      <w:r>
        <w:rPr>
          <w:rFonts w:eastAsia="仿宋_GB2312"/>
          <w:sz w:val="32"/>
          <w:szCs w:val="32"/>
        </w:rPr>
        <w:t>.</w:t>
      </w:r>
      <w:r>
        <w:rPr>
          <w:rFonts w:hint="eastAsia"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2"/>
        <w:tblW w:w="5541" w:type="pct"/>
        <w:jc w:val="center"/>
        <w:tblLayout w:type="autofit"/>
        <w:tblCellMar>
          <w:top w:w="0" w:type="dxa"/>
          <w:left w:w="108" w:type="dxa"/>
          <w:bottom w:w="0" w:type="dxa"/>
          <w:right w:w="108" w:type="dxa"/>
        </w:tblCellMar>
      </w:tblPr>
      <w:tblGrid>
        <w:gridCol w:w="954"/>
        <w:gridCol w:w="1120"/>
        <w:gridCol w:w="1041"/>
        <w:gridCol w:w="1058"/>
        <w:gridCol w:w="946"/>
        <w:gridCol w:w="2091"/>
        <w:gridCol w:w="2234"/>
      </w:tblGrid>
      <w:tr>
        <w:tblPrEx>
          <w:tblCellMar>
            <w:top w:w="0" w:type="dxa"/>
            <w:left w:w="108" w:type="dxa"/>
            <w:bottom w:w="0" w:type="dxa"/>
            <w:right w:w="108" w:type="dxa"/>
          </w:tblCellMar>
        </w:tblPrEx>
        <w:trPr>
          <w:trHeight w:val="614" w:hRule="atLeast"/>
          <w:jc w:val="center"/>
        </w:trPr>
        <w:tc>
          <w:tcPr>
            <w:tcW w:w="5000" w:type="pct"/>
            <w:gridSpan w:val="7"/>
            <w:tcBorders>
              <w:top w:val="nil"/>
              <w:left w:val="nil"/>
              <w:bottom w:val="nil"/>
              <w:right w:val="nil"/>
            </w:tcBorders>
            <w:shd w:val="clear" w:color="auto" w:fill="auto"/>
            <w:vAlign w:val="center"/>
          </w:tcPr>
          <w:p>
            <w:pPr>
              <w:widowControl/>
              <w:jc w:val="center"/>
              <w:textAlignment w:val="center"/>
              <w:rPr>
                <w:rFonts w:asciiTheme="majorEastAsia" w:hAnsiTheme="majorEastAsia" w:eastAsiaTheme="majorEastAsia"/>
                <w:b/>
                <w:bCs/>
                <w:kern w:val="0"/>
                <w:sz w:val="24"/>
              </w:rPr>
            </w:pPr>
            <w:bookmarkStart w:id="53" w:name="_Toc15396618"/>
            <w:r>
              <w:rPr>
                <w:rFonts w:hint="eastAsia" w:asciiTheme="majorEastAsia" w:hAnsiTheme="majorEastAsia" w:eastAsiaTheme="majorEastAsia"/>
                <w:b/>
                <w:bCs/>
                <w:kern w:val="0"/>
                <w:sz w:val="24"/>
              </w:rPr>
              <w:t>2021年100万元</w:t>
            </w:r>
            <w:r>
              <w:rPr>
                <w:rFonts w:asciiTheme="majorEastAsia" w:hAnsiTheme="majorEastAsia" w:eastAsiaTheme="majorEastAsia"/>
                <w:b/>
                <w:bCs/>
                <w:kern w:val="0"/>
                <w:sz w:val="24"/>
              </w:rPr>
              <w:t>以上（含）特定</w:t>
            </w:r>
            <w:r>
              <w:rPr>
                <w:rFonts w:hint="eastAsia" w:asciiTheme="majorEastAsia" w:hAnsiTheme="majorEastAsia" w:eastAsiaTheme="majorEastAsia"/>
                <w:b/>
                <w:bCs/>
                <w:kern w:val="0"/>
                <w:sz w:val="24"/>
              </w:rPr>
              <w:t>目标</w:t>
            </w:r>
            <w:r>
              <w:rPr>
                <w:rFonts w:asciiTheme="majorEastAsia" w:hAnsiTheme="majorEastAsia" w:eastAsiaTheme="majorEastAsia"/>
                <w:b/>
                <w:bCs/>
                <w:kern w:val="0"/>
                <w:sz w:val="24"/>
              </w:rPr>
              <w:t>类部门项目绩效</w:t>
            </w:r>
            <w:r>
              <w:rPr>
                <w:rFonts w:hint="eastAsia" w:asciiTheme="majorEastAsia" w:hAnsiTheme="majorEastAsia" w:eastAsiaTheme="majorEastAsia"/>
                <w:b/>
                <w:bCs/>
                <w:kern w:val="0"/>
                <w:sz w:val="24"/>
              </w:rPr>
              <w:t>目标</w:t>
            </w:r>
            <w:r>
              <w:rPr>
                <w:rFonts w:asciiTheme="majorEastAsia" w:hAnsiTheme="majorEastAsia" w:eastAsiaTheme="majorEastAsia"/>
                <w:b/>
                <w:bCs/>
                <w:kern w:val="0"/>
                <w:sz w:val="24"/>
              </w:rPr>
              <w:t>自评</w:t>
            </w:r>
          </w:p>
          <w:p>
            <w:pPr>
              <w:widowControl/>
              <w:jc w:val="center"/>
              <w:textAlignment w:val="center"/>
              <w:rPr>
                <w:rFonts w:asciiTheme="majorEastAsia" w:hAnsiTheme="majorEastAsia" w:eastAsiaTheme="majorEastAsia"/>
                <w:b/>
                <w:bCs/>
                <w:kern w:val="0"/>
                <w:sz w:val="24"/>
              </w:rPr>
            </w:pPr>
            <w:r>
              <w:rPr>
                <w:rFonts w:asciiTheme="majorEastAsia" w:hAnsiTheme="majorEastAsia" w:eastAsiaTheme="majorEastAsia"/>
                <w:b/>
                <w:bCs/>
                <w:kern w:val="0"/>
                <w:sz w:val="24"/>
              </w:rPr>
              <w:t>（ 办公用房维护）</w:t>
            </w:r>
          </w:p>
          <w:p>
            <w:pPr>
              <w:widowControl/>
              <w:jc w:val="center"/>
              <w:textAlignment w:val="center"/>
              <w:rPr>
                <w:b/>
                <w:bCs/>
                <w:color w:val="000000"/>
                <w:sz w:val="20"/>
                <w:szCs w:val="20"/>
              </w:rPr>
            </w:pPr>
          </w:p>
        </w:tc>
      </w:tr>
      <w:tr>
        <w:tblPrEx>
          <w:tblCellMar>
            <w:top w:w="0" w:type="dxa"/>
            <w:left w:w="108" w:type="dxa"/>
            <w:bottom w:w="0" w:type="dxa"/>
            <w:right w:w="108" w:type="dxa"/>
          </w:tblCellMar>
        </w:tblPrEx>
        <w:trPr>
          <w:trHeight w:val="896" w:hRule="atLeast"/>
          <w:jc w:val="center"/>
        </w:trPr>
        <w:tc>
          <w:tcPr>
            <w:tcW w:w="10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主管部门及代码</w:t>
            </w:r>
          </w:p>
        </w:tc>
        <w:tc>
          <w:tcPr>
            <w:tcW w:w="16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四川省经济合作局</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实施单位</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四川省人民政府驻重庆办事处</w:t>
            </w:r>
          </w:p>
        </w:tc>
      </w:tr>
      <w:tr>
        <w:tblPrEx>
          <w:tblCellMar>
            <w:top w:w="0" w:type="dxa"/>
            <w:left w:w="108" w:type="dxa"/>
            <w:bottom w:w="0" w:type="dxa"/>
            <w:right w:w="108" w:type="dxa"/>
          </w:tblCellMar>
        </w:tblPrEx>
        <w:trPr>
          <w:trHeight w:val="418" w:hRule="atLeast"/>
          <w:jc w:val="center"/>
        </w:trPr>
        <w:tc>
          <w:tcPr>
            <w:tcW w:w="109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项目预算</w:t>
            </w:r>
            <w:r>
              <w:rPr>
                <w:color w:val="000000"/>
                <w:kern w:val="0"/>
                <w:sz w:val="20"/>
                <w:szCs w:val="20"/>
                <w:lang w:bidi="ar"/>
              </w:rPr>
              <w:br w:type="textWrapping"/>
            </w:r>
            <w:r>
              <w:rPr>
                <w:color w:val="000000"/>
                <w:kern w:val="0"/>
                <w:sz w:val="20"/>
                <w:szCs w:val="20"/>
                <w:lang w:bidi="ar"/>
              </w:rPr>
              <w:t>执行情况</w:t>
            </w:r>
            <w:r>
              <w:rPr>
                <w:color w:val="000000"/>
                <w:kern w:val="0"/>
                <w:sz w:val="20"/>
                <w:szCs w:val="20"/>
                <w:lang w:bidi="ar"/>
              </w:rPr>
              <w:br w:type="textWrapping"/>
            </w:r>
            <w:r>
              <w:rPr>
                <w:color w:val="000000"/>
                <w:kern w:val="0"/>
                <w:sz w:val="20"/>
                <w:szCs w:val="20"/>
                <w:lang w:bidi="ar"/>
              </w:rPr>
              <w:t>（万元）</w:t>
            </w:r>
          </w:p>
        </w:tc>
        <w:tc>
          <w:tcPr>
            <w:tcW w:w="11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 xml:space="preserve"> 预算数：</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133.24</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 xml:space="preserve"> 执行数：</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r>
              <w:rPr>
                <w:color w:val="000000"/>
                <w:kern w:val="0"/>
                <w:sz w:val="20"/>
                <w:szCs w:val="20"/>
                <w:lang w:bidi="ar"/>
              </w:rPr>
              <w:t>89.11</w:t>
            </w:r>
          </w:p>
        </w:tc>
      </w:tr>
      <w:tr>
        <w:tblPrEx>
          <w:tblCellMar>
            <w:top w:w="0" w:type="dxa"/>
            <w:left w:w="108" w:type="dxa"/>
            <w:bottom w:w="0" w:type="dxa"/>
            <w:right w:w="108" w:type="dxa"/>
          </w:tblCellMar>
        </w:tblPrEx>
        <w:trPr>
          <w:trHeight w:val="601" w:hRule="atLeast"/>
          <w:jc w:val="center"/>
        </w:trPr>
        <w:tc>
          <w:tcPr>
            <w:tcW w:w="10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11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其中：财政拨款</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133.24</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其中：财政拨款</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r>
              <w:rPr>
                <w:color w:val="000000"/>
                <w:kern w:val="0"/>
                <w:sz w:val="20"/>
                <w:szCs w:val="20"/>
                <w:lang w:bidi="ar"/>
              </w:rPr>
              <w:t>89.11</w:t>
            </w:r>
          </w:p>
        </w:tc>
      </w:tr>
      <w:tr>
        <w:tblPrEx>
          <w:tblCellMar>
            <w:top w:w="0" w:type="dxa"/>
            <w:left w:w="108" w:type="dxa"/>
            <w:bottom w:w="0" w:type="dxa"/>
            <w:right w:w="108" w:type="dxa"/>
          </w:tblCellMar>
        </w:tblPrEx>
        <w:trPr>
          <w:trHeight w:val="601" w:hRule="atLeast"/>
          <w:jc w:val="center"/>
        </w:trPr>
        <w:tc>
          <w:tcPr>
            <w:tcW w:w="10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11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其他资金</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0.0</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kern w:val="0"/>
                <w:sz w:val="20"/>
                <w:szCs w:val="20"/>
                <w:lang w:bidi="ar"/>
              </w:rPr>
              <w:t>其他资金</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right"/>
              <w:rPr>
                <w:color w:val="000000"/>
                <w:sz w:val="20"/>
                <w:szCs w:val="20"/>
              </w:rPr>
            </w:pPr>
          </w:p>
        </w:tc>
      </w:tr>
      <w:tr>
        <w:tblPrEx>
          <w:tblCellMar>
            <w:top w:w="0" w:type="dxa"/>
            <w:left w:w="108" w:type="dxa"/>
            <w:bottom w:w="0" w:type="dxa"/>
            <w:right w:w="108" w:type="dxa"/>
          </w:tblCellMar>
        </w:tblPrEx>
        <w:trPr>
          <w:trHeight w:val="418" w:hRule="atLeast"/>
          <w:jc w:val="center"/>
        </w:trPr>
        <w:tc>
          <w:tcPr>
            <w:tcW w:w="505"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年度总体目标完成情况</w:t>
            </w:r>
          </w:p>
        </w:tc>
        <w:tc>
          <w:tcPr>
            <w:tcW w:w="220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预期目标</w:t>
            </w:r>
          </w:p>
        </w:tc>
        <w:tc>
          <w:tcPr>
            <w:tcW w:w="22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目标实际完成情况</w:t>
            </w:r>
          </w:p>
        </w:tc>
      </w:tr>
      <w:tr>
        <w:tblPrEx>
          <w:tblCellMar>
            <w:top w:w="0" w:type="dxa"/>
            <w:left w:w="108" w:type="dxa"/>
            <w:bottom w:w="0" w:type="dxa"/>
            <w:right w:w="108" w:type="dxa"/>
          </w:tblCellMar>
        </w:tblPrEx>
        <w:trPr>
          <w:trHeight w:val="471" w:hRule="atLeast"/>
          <w:jc w:val="center"/>
        </w:trPr>
        <w:tc>
          <w:tcPr>
            <w:tcW w:w="50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20" w:lineRule="exact"/>
              <w:jc w:val="center"/>
              <w:rPr>
                <w:color w:val="000000"/>
                <w:sz w:val="20"/>
                <w:szCs w:val="20"/>
              </w:rPr>
            </w:pPr>
          </w:p>
        </w:tc>
        <w:tc>
          <w:tcPr>
            <w:tcW w:w="220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color w:val="000000"/>
                <w:sz w:val="20"/>
                <w:szCs w:val="20"/>
              </w:rPr>
            </w:pPr>
            <w:r>
              <w:rPr>
                <w:color w:val="000000"/>
                <w:kern w:val="0"/>
                <w:sz w:val="20"/>
                <w:szCs w:val="20"/>
                <w:lang w:bidi="ar"/>
              </w:rPr>
              <w:t>通过对室内办公室改造及维修，改善办公环境；通过对办公室外墙渗漏和墙体瓷砖脱落维修，排除安全隐患，确保安全；通过对办公楼和室外广场的维修改造、使环境更加美观、整洁，提高省政府对外形象。</w:t>
            </w:r>
          </w:p>
        </w:tc>
        <w:tc>
          <w:tcPr>
            <w:tcW w:w="22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color w:val="000000"/>
                <w:sz w:val="20"/>
                <w:szCs w:val="20"/>
              </w:rPr>
            </w:pPr>
            <w:r>
              <w:rPr>
                <w:color w:val="000000"/>
                <w:kern w:val="0"/>
                <w:sz w:val="20"/>
                <w:szCs w:val="20"/>
                <w:lang w:bidi="ar"/>
              </w:rPr>
              <w:t>通过对室内办公室改造及维修，改善办公环境；通过对办公室外墙渗漏和墙体瓷砖脱落维修，排除安全隐患，确保安全；通过对办公楼和室外广场的维修改造、使环境更加美观、整洁，提高省政府对外形象。</w:t>
            </w:r>
          </w:p>
        </w:tc>
      </w:tr>
      <w:tr>
        <w:tblPrEx>
          <w:tblCellMar>
            <w:top w:w="0" w:type="dxa"/>
            <w:left w:w="108" w:type="dxa"/>
            <w:bottom w:w="0" w:type="dxa"/>
            <w:right w:w="108" w:type="dxa"/>
          </w:tblCellMar>
        </w:tblPrEx>
        <w:trPr>
          <w:trHeight w:val="70" w:hRule="atLeast"/>
          <w:jc w:val="center"/>
        </w:trPr>
        <w:tc>
          <w:tcPr>
            <w:tcW w:w="5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0"/>
                <w:szCs w:val="20"/>
                <w:lang w:bidi="ar"/>
              </w:rPr>
            </w:pPr>
            <w:r>
              <w:rPr>
                <w:color w:val="000000"/>
                <w:kern w:val="0"/>
                <w:sz w:val="20"/>
                <w:szCs w:val="20"/>
                <w:lang w:bidi="ar"/>
              </w:rPr>
              <w:t>年</w:t>
            </w:r>
          </w:p>
          <w:p>
            <w:pPr>
              <w:widowControl/>
              <w:spacing w:line="320" w:lineRule="exact"/>
              <w:jc w:val="center"/>
              <w:textAlignment w:val="center"/>
              <w:rPr>
                <w:color w:val="000000"/>
                <w:kern w:val="0"/>
                <w:sz w:val="20"/>
                <w:szCs w:val="20"/>
                <w:lang w:bidi="ar"/>
              </w:rPr>
            </w:pPr>
            <w:r>
              <w:rPr>
                <w:color w:val="000000"/>
                <w:kern w:val="0"/>
                <w:sz w:val="20"/>
                <w:szCs w:val="20"/>
                <w:lang w:bidi="ar"/>
              </w:rPr>
              <w:t>度</w:t>
            </w:r>
          </w:p>
          <w:p>
            <w:pPr>
              <w:widowControl/>
              <w:spacing w:line="320" w:lineRule="exact"/>
              <w:jc w:val="center"/>
              <w:textAlignment w:val="center"/>
              <w:rPr>
                <w:color w:val="000000"/>
                <w:kern w:val="0"/>
                <w:sz w:val="20"/>
                <w:szCs w:val="20"/>
                <w:lang w:bidi="ar"/>
              </w:rPr>
            </w:pPr>
            <w:r>
              <w:rPr>
                <w:color w:val="000000"/>
                <w:kern w:val="0"/>
                <w:sz w:val="20"/>
                <w:szCs w:val="20"/>
                <w:lang w:bidi="ar"/>
              </w:rPr>
              <w:t>绩</w:t>
            </w:r>
          </w:p>
          <w:p>
            <w:pPr>
              <w:widowControl/>
              <w:spacing w:line="320" w:lineRule="exact"/>
              <w:jc w:val="center"/>
              <w:textAlignment w:val="center"/>
              <w:rPr>
                <w:color w:val="000000"/>
                <w:kern w:val="0"/>
                <w:sz w:val="20"/>
                <w:szCs w:val="20"/>
                <w:lang w:bidi="ar"/>
              </w:rPr>
            </w:pPr>
            <w:r>
              <w:rPr>
                <w:color w:val="000000"/>
                <w:kern w:val="0"/>
                <w:sz w:val="20"/>
                <w:szCs w:val="20"/>
                <w:lang w:bidi="ar"/>
              </w:rPr>
              <w:t>效</w:t>
            </w:r>
          </w:p>
          <w:p>
            <w:pPr>
              <w:widowControl/>
              <w:spacing w:line="320" w:lineRule="exact"/>
              <w:jc w:val="center"/>
              <w:textAlignment w:val="center"/>
              <w:rPr>
                <w:color w:val="000000"/>
                <w:kern w:val="0"/>
                <w:sz w:val="20"/>
                <w:szCs w:val="20"/>
                <w:lang w:bidi="ar"/>
              </w:rPr>
            </w:pPr>
            <w:r>
              <w:rPr>
                <w:color w:val="000000"/>
                <w:kern w:val="0"/>
                <w:sz w:val="20"/>
                <w:szCs w:val="20"/>
                <w:lang w:bidi="ar"/>
              </w:rPr>
              <w:t>指</w:t>
            </w:r>
          </w:p>
          <w:p>
            <w:pPr>
              <w:widowControl/>
              <w:spacing w:line="320" w:lineRule="exact"/>
              <w:jc w:val="center"/>
              <w:textAlignment w:val="center"/>
              <w:rPr>
                <w:color w:val="000000"/>
                <w:kern w:val="0"/>
                <w:sz w:val="20"/>
                <w:szCs w:val="20"/>
                <w:lang w:bidi="ar"/>
              </w:rPr>
            </w:pPr>
            <w:r>
              <w:rPr>
                <w:color w:val="000000"/>
                <w:kern w:val="0"/>
                <w:sz w:val="20"/>
                <w:szCs w:val="20"/>
                <w:lang w:bidi="ar"/>
              </w:rPr>
              <w:t>标</w:t>
            </w:r>
          </w:p>
          <w:p>
            <w:pPr>
              <w:widowControl/>
              <w:spacing w:line="320" w:lineRule="exact"/>
              <w:jc w:val="center"/>
              <w:textAlignment w:val="center"/>
              <w:rPr>
                <w:color w:val="000000"/>
                <w:kern w:val="0"/>
                <w:sz w:val="20"/>
                <w:szCs w:val="20"/>
                <w:lang w:bidi="ar"/>
              </w:rPr>
            </w:pPr>
            <w:r>
              <w:rPr>
                <w:color w:val="000000"/>
                <w:kern w:val="0"/>
                <w:sz w:val="20"/>
                <w:szCs w:val="20"/>
                <w:lang w:bidi="ar"/>
              </w:rPr>
              <w:t>完</w:t>
            </w:r>
          </w:p>
          <w:p>
            <w:pPr>
              <w:widowControl/>
              <w:spacing w:line="320" w:lineRule="exact"/>
              <w:jc w:val="center"/>
              <w:textAlignment w:val="center"/>
              <w:rPr>
                <w:color w:val="000000"/>
                <w:kern w:val="0"/>
                <w:sz w:val="20"/>
                <w:szCs w:val="20"/>
                <w:lang w:bidi="ar"/>
              </w:rPr>
            </w:pPr>
            <w:r>
              <w:rPr>
                <w:color w:val="000000"/>
                <w:kern w:val="0"/>
                <w:sz w:val="20"/>
                <w:szCs w:val="20"/>
                <w:lang w:bidi="ar"/>
              </w:rPr>
              <w:t>成</w:t>
            </w:r>
          </w:p>
          <w:p>
            <w:pPr>
              <w:widowControl/>
              <w:spacing w:line="320" w:lineRule="exact"/>
              <w:jc w:val="center"/>
              <w:textAlignment w:val="center"/>
              <w:rPr>
                <w:color w:val="000000"/>
                <w:kern w:val="0"/>
                <w:sz w:val="20"/>
                <w:szCs w:val="20"/>
                <w:lang w:bidi="ar"/>
              </w:rPr>
            </w:pPr>
            <w:r>
              <w:rPr>
                <w:color w:val="000000"/>
                <w:kern w:val="0"/>
                <w:sz w:val="20"/>
                <w:szCs w:val="20"/>
                <w:lang w:bidi="ar"/>
              </w:rPr>
              <w:t>情</w:t>
            </w:r>
          </w:p>
          <w:p>
            <w:pPr>
              <w:widowControl/>
              <w:spacing w:line="320" w:lineRule="exact"/>
              <w:jc w:val="center"/>
              <w:textAlignment w:val="center"/>
              <w:rPr>
                <w:color w:val="000000"/>
                <w:sz w:val="20"/>
                <w:szCs w:val="20"/>
              </w:rPr>
            </w:pPr>
            <w:r>
              <w:rPr>
                <w:color w:val="000000"/>
                <w:kern w:val="0"/>
                <w:sz w:val="20"/>
                <w:szCs w:val="20"/>
                <w:lang w:bidi="ar"/>
              </w:rPr>
              <w:t>况</w:t>
            </w:r>
          </w:p>
        </w:tc>
        <w:tc>
          <w:tcPr>
            <w:tcW w:w="593"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一级指标</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二级指标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三级指标</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预期指标值</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实际完成指标值</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完</w:t>
            </w:r>
            <w:r>
              <w:rPr>
                <w:color w:val="000000"/>
                <w:kern w:val="0"/>
                <w:sz w:val="20"/>
                <w:szCs w:val="20"/>
                <w:lang w:bidi="ar"/>
              </w:rPr>
              <w:br w:type="textWrapping"/>
            </w:r>
            <w:r>
              <w:rPr>
                <w:color w:val="000000"/>
                <w:kern w:val="0"/>
                <w:sz w:val="20"/>
                <w:szCs w:val="20"/>
                <w:lang w:bidi="ar"/>
              </w:rPr>
              <w:t>成</w:t>
            </w:r>
            <w:r>
              <w:rPr>
                <w:color w:val="000000"/>
                <w:kern w:val="0"/>
                <w:sz w:val="20"/>
                <w:szCs w:val="20"/>
                <w:lang w:bidi="ar"/>
              </w:rPr>
              <w:br w:type="textWrapping"/>
            </w:r>
            <w:r>
              <w:rPr>
                <w:color w:val="000000"/>
                <w:kern w:val="0"/>
                <w:sz w:val="20"/>
                <w:szCs w:val="20"/>
                <w:lang w:bidi="ar"/>
              </w:rPr>
              <w:t>指</w:t>
            </w:r>
            <w:r>
              <w:rPr>
                <w:color w:val="000000"/>
                <w:kern w:val="0"/>
                <w:sz w:val="20"/>
                <w:szCs w:val="20"/>
                <w:lang w:bidi="ar"/>
              </w:rPr>
              <w:br w:type="textWrapping"/>
            </w:r>
            <w:r>
              <w:rPr>
                <w:color w:val="000000"/>
                <w:kern w:val="0"/>
                <w:sz w:val="20"/>
                <w:szCs w:val="20"/>
                <w:lang w:bidi="ar"/>
              </w:rPr>
              <w:t>标</w:t>
            </w:r>
          </w:p>
        </w:tc>
        <w:tc>
          <w:tcPr>
            <w:tcW w:w="5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数量指标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外墙改造</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≤5140㎡</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5140</w:t>
            </w:r>
            <w:r>
              <w:rPr>
                <w:rStyle w:val="30"/>
                <w:rFonts w:hint="default"/>
                <w:lang w:bidi="ar"/>
              </w:rPr>
              <w:t>㎡</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000000"/>
                <w:sz w:val="20"/>
                <w:szCs w:val="20"/>
              </w:rPr>
            </w:pP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室外广场改造及维修</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≤1005.48㎡</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1005.48㎡</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000000"/>
                <w:sz w:val="20"/>
                <w:szCs w:val="20"/>
              </w:rPr>
            </w:pP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办公室改造及维修</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≤83.30㎡</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83.30㎡</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质量指标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外墙改造</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安全、美观</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安全、美观</w:t>
            </w:r>
          </w:p>
        </w:tc>
      </w:tr>
      <w:tr>
        <w:tblPrEx>
          <w:tblCellMar>
            <w:top w:w="0" w:type="dxa"/>
            <w:left w:w="108" w:type="dxa"/>
            <w:bottom w:w="0" w:type="dxa"/>
            <w:right w:w="108" w:type="dxa"/>
          </w:tblCellMar>
        </w:tblPrEx>
        <w:trPr>
          <w:trHeight w:val="601"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000000"/>
                <w:sz w:val="20"/>
                <w:szCs w:val="20"/>
              </w:rPr>
            </w:pP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室外广场改造及维修</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正常使用、安全、美观</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正常使用、安全、美观</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000000"/>
                <w:sz w:val="20"/>
                <w:szCs w:val="20"/>
              </w:rPr>
            </w:pP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办公室改造及维修</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正常使用</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正常使用</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时效指标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完成时间</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3月底</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2</w:t>
            </w:r>
            <w:r>
              <w:rPr>
                <w:rStyle w:val="30"/>
                <w:rFonts w:hint="default"/>
                <w:lang w:bidi="ar"/>
              </w:rPr>
              <w:t>月</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成本指标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维修成本</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≤133.24万元</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89.11</w:t>
            </w:r>
            <w:r>
              <w:rPr>
                <w:rStyle w:val="30"/>
                <w:rFonts w:hint="default"/>
                <w:lang w:bidi="ar"/>
              </w:rPr>
              <w:t>万元</w:t>
            </w:r>
          </w:p>
        </w:tc>
      </w:tr>
      <w:tr>
        <w:tblPrEx>
          <w:tblCellMar>
            <w:top w:w="0" w:type="dxa"/>
            <w:left w:w="108" w:type="dxa"/>
            <w:bottom w:w="0" w:type="dxa"/>
            <w:right w:w="108" w:type="dxa"/>
          </w:tblCellMar>
        </w:tblPrEx>
        <w:trPr>
          <w:trHeight w:val="601"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kern w:val="0"/>
                <w:sz w:val="20"/>
                <w:szCs w:val="20"/>
                <w:lang w:bidi="ar"/>
              </w:rPr>
              <w:t>效</w:t>
            </w:r>
            <w:r>
              <w:rPr>
                <w:color w:val="000000"/>
                <w:kern w:val="0"/>
                <w:sz w:val="20"/>
                <w:szCs w:val="20"/>
                <w:lang w:bidi="ar"/>
              </w:rPr>
              <w:br w:type="textWrapping"/>
            </w:r>
            <w:r>
              <w:rPr>
                <w:color w:val="000000"/>
                <w:kern w:val="0"/>
                <w:sz w:val="20"/>
                <w:szCs w:val="20"/>
                <w:lang w:bidi="ar"/>
              </w:rPr>
              <w:t>益</w:t>
            </w:r>
            <w:r>
              <w:rPr>
                <w:color w:val="000000"/>
                <w:kern w:val="0"/>
                <w:sz w:val="20"/>
                <w:szCs w:val="20"/>
                <w:lang w:bidi="ar"/>
              </w:rPr>
              <w:br w:type="textWrapping"/>
            </w:r>
            <w:r>
              <w:rPr>
                <w:color w:val="000000"/>
                <w:kern w:val="0"/>
                <w:sz w:val="20"/>
                <w:szCs w:val="20"/>
                <w:lang w:bidi="ar"/>
              </w:rPr>
              <w:t>指</w:t>
            </w:r>
            <w:r>
              <w:rPr>
                <w:color w:val="000000"/>
                <w:kern w:val="0"/>
                <w:sz w:val="20"/>
                <w:szCs w:val="20"/>
                <w:lang w:bidi="ar"/>
              </w:rPr>
              <w:br w:type="textWrapping"/>
            </w:r>
            <w:r>
              <w:rPr>
                <w:color w:val="000000"/>
                <w:kern w:val="0"/>
                <w:sz w:val="20"/>
                <w:szCs w:val="20"/>
                <w:lang w:bidi="ar"/>
              </w:rPr>
              <w:t>标</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经济效益指标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国有资产</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保值增值</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保值增值</w:t>
            </w:r>
          </w:p>
        </w:tc>
      </w:tr>
      <w:tr>
        <w:tblPrEx>
          <w:tblCellMar>
            <w:top w:w="0" w:type="dxa"/>
            <w:left w:w="108" w:type="dxa"/>
            <w:bottom w:w="0" w:type="dxa"/>
            <w:right w:w="108" w:type="dxa"/>
          </w:tblCellMar>
        </w:tblPrEx>
        <w:trPr>
          <w:trHeight w:val="30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color w:val="000000"/>
                <w:sz w:val="20"/>
                <w:szCs w:val="20"/>
              </w:rPr>
            </w:pPr>
            <w:r>
              <w:rPr>
                <w:color w:val="000000"/>
                <w:kern w:val="0"/>
                <w:sz w:val="20"/>
                <w:szCs w:val="20"/>
                <w:lang w:bidi="ar"/>
              </w:rPr>
              <w:t>社会效益指标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省政府的对外形象</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维护提升形象</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维护提升形象</w:t>
            </w:r>
          </w:p>
        </w:tc>
      </w:tr>
      <w:tr>
        <w:tblPrEx>
          <w:tblCellMar>
            <w:top w:w="0" w:type="dxa"/>
            <w:left w:w="108" w:type="dxa"/>
            <w:bottom w:w="0" w:type="dxa"/>
            <w:right w:w="108" w:type="dxa"/>
          </w:tblCellMar>
        </w:tblPrEx>
        <w:trPr>
          <w:trHeight w:val="455"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vMerge w:val="continue"/>
            <w:tcBorders>
              <w:top w:val="single" w:color="000000" w:sz="4" w:space="0"/>
              <w:left w:val="nil"/>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消除安全隐患</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确保安全</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color w:val="000000"/>
                <w:sz w:val="20"/>
                <w:szCs w:val="20"/>
              </w:rPr>
            </w:pPr>
            <w:r>
              <w:rPr>
                <w:color w:val="000000"/>
                <w:kern w:val="0"/>
                <w:sz w:val="20"/>
                <w:szCs w:val="20"/>
                <w:lang w:bidi="ar"/>
              </w:rPr>
              <w:t>确保安全</w:t>
            </w:r>
          </w:p>
        </w:tc>
      </w:tr>
      <w:tr>
        <w:tblPrEx>
          <w:tblCellMar>
            <w:top w:w="0" w:type="dxa"/>
            <w:left w:w="108" w:type="dxa"/>
            <w:bottom w:w="0" w:type="dxa"/>
            <w:right w:w="108" w:type="dxa"/>
          </w:tblCellMar>
        </w:tblPrEx>
        <w:trPr>
          <w:trHeight w:val="921" w:hRule="atLeast"/>
          <w:jc w:val="center"/>
        </w:trPr>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93" w:type="pct"/>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 w:val="20"/>
                <w:szCs w:val="20"/>
              </w:rPr>
            </w:pPr>
            <w:r>
              <w:rPr>
                <w:color w:val="000000"/>
                <w:kern w:val="0"/>
                <w:sz w:val="20"/>
                <w:szCs w:val="20"/>
                <w:lang w:bidi="ar"/>
              </w:rPr>
              <w:t>满意</w:t>
            </w:r>
            <w:r>
              <w:rPr>
                <w:color w:val="000000"/>
                <w:kern w:val="0"/>
                <w:sz w:val="20"/>
                <w:szCs w:val="20"/>
                <w:lang w:bidi="ar"/>
              </w:rPr>
              <w:br w:type="textWrapping"/>
            </w:r>
            <w:r>
              <w:rPr>
                <w:color w:val="000000"/>
                <w:kern w:val="0"/>
                <w:sz w:val="20"/>
                <w:szCs w:val="20"/>
                <w:lang w:bidi="ar"/>
              </w:rPr>
              <w:t>度指</w:t>
            </w:r>
            <w:r>
              <w:rPr>
                <w:color w:val="000000"/>
                <w:kern w:val="0"/>
                <w:sz w:val="20"/>
                <w:szCs w:val="20"/>
                <w:lang w:bidi="ar"/>
              </w:rPr>
              <w:br w:type="textWrapping"/>
            </w:r>
            <w:r>
              <w:rPr>
                <w:color w:val="000000"/>
                <w:kern w:val="0"/>
                <w:sz w:val="20"/>
                <w:szCs w:val="20"/>
                <w:lang w:bidi="ar"/>
              </w:rPr>
              <w:t>标</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color w:val="000000"/>
                <w:sz w:val="20"/>
                <w:szCs w:val="20"/>
              </w:rPr>
            </w:pPr>
            <w:r>
              <w:rPr>
                <w:color w:val="000000"/>
                <w:kern w:val="0"/>
                <w:sz w:val="20"/>
                <w:szCs w:val="20"/>
                <w:lang w:bidi="ar"/>
              </w:rPr>
              <w:t>满意度指标</w:t>
            </w:r>
          </w:p>
        </w:tc>
        <w:tc>
          <w:tcPr>
            <w:tcW w:w="10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color w:val="000000"/>
                <w:sz w:val="20"/>
                <w:szCs w:val="20"/>
              </w:rPr>
            </w:pPr>
            <w:r>
              <w:rPr>
                <w:color w:val="000000"/>
                <w:kern w:val="0"/>
                <w:sz w:val="20"/>
                <w:szCs w:val="20"/>
                <w:lang w:bidi="ar"/>
              </w:rPr>
              <w:t>使用对象满意率</w:t>
            </w:r>
          </w:p>
        </w:tc>
        <w:tc>
          <w:tcPr>
            <w:tcW w:w="11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color w:val="000000"/>
                <w:sz w:val="20"/>
                <w:szCs w:val="20"/>
              </w:rPr>
            </w:pPr>
            <w:r>
              <w:rPr>
                <w:color w:val="000000"/>
                <w:kern w:val="0"/>
                <w:sz w:val="20"/>
                <w:szCs w:val="20"/>
                <w:lang w:bidi="ar"/>
              </w:rPr>
              <w:t>≥90%</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color w:val="000000"/>
                <w:sz w:val="20"/>
                <w:szCs w:val="20"/>
              </w:rPr>
            </w:pPr>
            <w:r>
              <w:rPr>
                <w:color w:val="000000"/>
                <w:kern w:val="0"/>
                <w:sz w:val="20"/>
                <w:szCs w:val="20"/>
                <w:lang w:bidi="ar"/>
              </w:rPr>
              <w:t>92%</w:t>
            </w:r>
          </w:p>
        </w:tc>
      </w:tr>
    </w:tbl>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swiss"/>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92315"/>
    <w:rsid w:val="022A74BB"/>
    <w:rsid w:val="0A2032A3"/>
    <w:rsid w:val="0B8A37D8"/>
    <w:rsid w:val="10C055FF"/>
    <w:rsid w:val="11610A5E"/>
    <w:rsid w:val="118107EC"/>
    <w:rsid w:val="11DD6519"/>
    <w:rsid w:val="120520C6"/>
    <w:rsid w:val="162A6A05"/>
    <w:rsid w:val="16BB723D"/>
    <w:rsid w:val="18015F3F"/>
    <w:rsid w:val="19D8199C"/>
    <w:rsid w:val="1BE8440E"/>
    <w:rsid w:val="1D155CEE"/>
    <w:rsid w:val="20016D78"/>
    <w:rsid w:val="20F57F95"/>
    <w:rsid w:val="240371BF"/>
    <w:rsid w:val="251F2FCD"/>
    <w:rsid w:val="25C741E6"/>
    <w:rsid w:val="27842671"/>
    <w:rsid w:val="284E302C"/>
    <w:rsid w:val="29FD04D3"/>
    <w:rsid w:val="2ABE7A3E"/>
    <w:rsid w:val="2CC5107B"/>
    <w:rsid w:val="2EFA178C"/>
    <w:rsid w:val="30B46D73"/>
    <w:rsid w:val="31942661"/>
    <w:rsid w:val="319F7F4E"/>
    <w:rsid w:val="33DC020F"/>
    <w:rsid w:val="37130DCD"/>
    <w:rsid w:val="39AE70AB"/>
    <w:rsid w:val="3C0C0783"/>
    <w:rsid w:val="3C1A4E71"/>
    <w:rsid w:val="3F9F3A96"/>
    <w:rsid w:val="431F2DD3"/>
    <w:rsid w:val="443A1B3B"/>
    <w:rsid w:val="48892407"/>
    <w:rsid w:val="493C27E9"/>
    <w:rsid w:val="496F39ED"/>
    <w:rsid w:val="49FF41D3"/>
    <w:rsid w:val="4AB87767"/>
    <w:rsid w:val="4BE068DB"/>
    <w:rsid w:val="4BF6002B"/>
    <w:rsid w:val="4ECE2238"/>
    <w:rsid w:val="4F0F4401"/>
    <w:rsid w:val="51DB4B86"/>
    <w:rsid w:val="55333C3E"/>
    <w:rsid w:val="60CB7C99"/>
    <w:rsid w:val="64800B6D"/>
    <w:rsid w:val="64CA39A1"/>
    <w:rsid w:val="6BAB6C73"/>
    <w:rsid w:val="6C4A05C8"/>
    <w:rsid w:val="6F947911"/>
    <w:rsid w:val="72734D90"/>
    <w:rsid w:val="79E7B28D"/>
    <w:rsid w:val="7CEE48AD"/>
    <w:rsid w:val="7F9F20EE"/>
    <w:rsid w:val="9E3A10E2"/>
    <w:rsid w:val="B6FF5EF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4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C:\Users\Administrator\Desktop\&#26032;&#24314;%20Excel%202007%20(2).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Excel%202007%20(2).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2.xml"/><Relationship Id="rId1" Type="http://schemas.openxmlformats.org/officeDocument/2006/relationships/oleObject" Target="file:///C:\Users\Administrator\Desktop\&#26032;&#24314;%20Excel%202007%20(2).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3.xml"/><Relationship Id="rId1" Type="http://schemas.openxmlformats.org/officeDocument/2006/relationships/oleObject" Target="file:///C:\Users\Administrator\Desktop\&#26032;&#24314;%20Excel%202007%20(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Excel%202007%20(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Excel%202007%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50294695481336"/>
          <c:y val="0.126984126984127"/>
          <c:w val="0.737401768172888"/>
          <c:h val="0.689433106575964"/>
        </c:manualLayout>
      </c:layout>
      <c:barChart>
        <c:barDir val="col"/>
        <c:grouping val="clustered"/>
        <c:varyColors val="0"/>
        <c:ser>
          <c:idx val="0"/>
          <c:order val="0"/>
          <c:tx>
            <c:strRef>
              <c:f>'[新建 Excel 2007 (2).xlsx]Sheet1'!$A$2</c:f>
              <c:strCache>
                <c:ptCount val="1"/>
                <c:pt idx="0">
                  <c:v>2020</c:v>
                </c:pt>
              </c:strCache>
            </c:strRef>
          </c:tx>
          <c:spPr>
            <a:solidFill>
              <a:schemeClr val="accent1"/>
            </a:solidFill>
            <a:ln>
              <a:noFill/>
            </a:ln>
            <a:effectLst/>
          </c:spPr>
          <c:invertIfNegative val="0"/>
          <c:dLbls>
            <c:delete val="1"/>
          </c:dLbls>
          <c:cat>
            <c:strRef>
              <c:f>{"收、支决算总计变动情况图"}</c:f>
              <c:strCache>
                <c:ptCount val="1"/>
                <c:pt idx="0">
                  <c:v>收、支决算总计变动情况图</c:v>
                </c:pt>
              </c:strCache>
            </c:strRef>
          </c:cat>
          <c:val>
            <c:numRef>
              <c:f>'[新建 Excel 2007 (2).xlsx]Sheet1'!$B$2</c:f>
              <c:numCache>
                <c:formatCode>General</c:formatCode>
                <c:ptCount val="1"/>
                <c:pt idx="0">
                  <c:v>665.38</c:v>
                </c:pt>
              </c:numCache>
            </c:numRef>
          </c:val>
        </c:ser>
        <c:ser>
          <c:idx val="1"/>
          <c:order val="1"/>
          <c:tx>
            <c:strRef>
              <c:f>'[新建 Excel 2007 (2).xlsx]Sheet1'!$A$3</c:f>
              <c:strCache>
                <c:ptCount val="1"/>
                <c:pt idx="0">
                  <c:v>2021</c:v>
                </c:pt>
              </c:strCache>
            </c:strRef>
          </c:tx>
          <c:spPr>
            <a:solidFill>
              <a:schemeClr val="accent2"/>
            </a:solidFill>
            <a:ln>
              <a:noFill/>
            </a:ln>
            <a:effectLst/>
          </c:spPr>
          <c:invertIfNegative val="0"/>
          <c:dLbls>
            <c:delete val="1"/>
          </c:dLbls>
          <c:cat>
            <c:strRef>
              <c:f>{"收、支决算总计变动情况图"}</c:f>
              <c:strCache>
                <c:ptCount val="1"/>
                <c:pt idx="0">
                  <c:v>收、支决算总计变动情况图</c:v>
                </c:pt>
              </c:strCache>
            </c:strRef>
          </c:cat>
          <c:val>
            <c:numRef>
              <c:f>'[新建 Excel 2007 (2).xlsx]Sheet1'!$B$3</c:f>
              <c:numCache>
                <c:formatCode>General</c:formatCode>
                <c:ptCount val="1"/>
                <c:pt idx="0">
                  <c:v>661.83</c:v>
                </c:pt>
              </c:numCache>
            </c:numRef>
          </c:val>
        </c:ser>
        <c:dLbls>
          <c:showLegendKey val="0"/>
          <c:showVal val="0"/>
          <c:showCatName val="0"/>
          <c:showSerName val="0"/>
          <c:showPercent val="0"/>
          <c:showBubbleSize val="0"/>
        </c:dLbls>
        <c:gapWidth val="219"/>
        <c:overlap val="-27"/>
        <c:axId val="905368044"/>
        <c:axId val="21190895"/>
      </c:barChart>
      <c:catAx>
        <c:axId val="9053680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90895"/>
        <c:crosses val="autoZero"/>
        <c:auto val="1"/>
        <c:lblAlgn val="ctr"/>
        <c:lblOffset val="100"/>
        <c:noMultiLvlLbl val="0"/>
      </c:catAx>
      <c:valAx>
        <c:axId val="2119089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3680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1"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sz="1400">
                <a:latin typeface="仿宋" panose="02010609060101010101" pitchFamily="3" charset="-122"/>
                <a:ea typeface="仿宋" panose="02010609060101010101" pitchFamily="3" charset="-122"/>
              </a:rPr>
              <a:t>收入</a:t>
            </a:r>
            <a:r>
              <a:rPr lang="zh-CN" altLang="en-US" sz="1400">
                <a:latin typeface="仿宋" panose="02010609060101010101" pitchFamily="3" charset="-122"/>
                <a:ea typeface="仿宋" panose="02010609060101010101" pitchFamily="3" charset="-122"/>
              </a:rPr>
              <a:t>决算</a:t>
            </a:r>
            <a:r>
              <a:rPr lang="zh-CN" sz="1400">
                <a:latin typeface="仿宋" panose="02010609060101010101" pitchFamily="3" charset="-122"/>
                <a:ea typeface="仿宋" panose="02010609060101010101" pitchFamily="3" charset="-122"/>
              </a:rPr>
              <a:t>结构图</a:t>
            </a:r>
            <a:endParaRPr lang="en-US" sz="1400">
              <a:latin typeface="仿宋" panose="02010609060101010101" pitchFamily="3" charset="-122"/>
              <a:ea typeface="仿宋" panose="02010609060101010101" pitchFamily="3" charset="-122"/>
            </a:endParaRPr>
          </a:p>
        </c:rich>
      </c:tx>
      <c:layout/>
      <c:overlay val="0"/>
      <c:spPr>
        <a:noFill/>
        <a:ln>
          <a:noFill/>
        </a:ln>
        <a:effectLst/>
      </c:spPr>
    </c:title>
    <c:autoTitleDeleted val="0"/>
    <c:plotArea>
      <c:layout/>
      <c:pieChart>
        <c:varyColors val="1"/>
        <c:ser>
          <c:idx val="0"/>
          <c:order val="0"/>
          <c:explosion val="0"/>
          <c:dPt>
            <c:idx val="0"/>
            <c:bubble3D val="0"/>
            <c:spPr>
              <a:solidFill>
                <a:srgbClr val="0070C0"/>
              </a:soli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Sheet2!$A$1</c:f>
              <c:strCache>
                <c:ptCount val="1"/>
                <c:pt idx="0">
                  <c:v>一般公共预算财政拨款收入</c:v>
                </c:pt>
              </c:strCache>
            </c:strRef>
          </c:cat>
          <c:val>
            <c:numRef>
              <c:f>Sheet2!$B$1</c:f>
              <c:numCache>
                <c:formatCode>General</c:formatCode>
                <c:ptCount val="1"/>
                <c:pt idx="0">
                  <c:v>1303.75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28880866425993"/>
          <c:y val="0.911268638474701"/>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a:t>
                    </a:r>
                    <a:r>
                      <a:rPr lang="en-US" altLang="zh-CN"/>
                      <a:t>4.87</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35</a:t>
                    </a:r>
                    <a:r>
                      <a:rPr lang="en-US" altLang="zh-CN"/>
                      <a:t>.13</a:t>
                    </a:r>
                    <a:r>
                      <a:t>%</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Excel 2007 (2).xlsx]Sheet1'!$A$2:$A$3</c:f>
              <c:strCache>
                <c:ptCount val="2"/>
                <c:pt idx="0">
                  <c:v>基本支出</c:v>
                </c:pt>
                <c:pt idx="1">
                  <c:v>项目支出</c:v>
                </c:pt>
              </c:strCache>
            </c:strRef>
          </c:cat>
          <c:val>
            <c:numRef>
              <c:f>'[新建 Excel 2007 (2).xlsx]Sheet1'!$B$2:$B$3</c:f>
              <c:numCache>
                <c:formatCode>General</c:formatCode>
                <c:ptCount val="2"/>
                <c:pt idx="0">
                  <c:v>388.58</c:v>
                </c:pt>
                <c:pt idx="1">
                  <c:v>210.47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50294695481336"/>
          <c:y val="0.126984126984127"/>
          <c:w val="0.737401768172888"/>
          <c:h val="0.689433106575964"/>
        </c:manualLayout>
      </c:layout>
      <c:barChart>
        <c:barDir val="col"/>
        <c:grouping val="clustered"/>
        <c:varyColors val="0"/>
        <c:ser>
          <c:idx val="0"/>
          <c:order val="0"/>
          <c:tx>
            <c:strRef>
              <c:f>'[新建 Excel 2007 (2).xlsx]Sheet1'!$A$2</c:f>
              <c:strCache>
                <c:ptCount val="1"/>
                <c:pt idx="0">
                  <c:v>2020</c:v>
                </c:pt>
              </c:strCache>
            </c:strRef>
          </c:tx>
          <c:spPr>
            <a:solidFill>
              <a:schemeClr val="accent1"/>
            </a:solidFill>
            <a:ln>
              <a:noFill/>
            </a:ln>
            <a:effectLst/>
          </c:spPr>
          <c:invertIfNegative val="0"/>
          <c:dLbls>
            <c:delete val="1"/>
          </c:dLbls>
          <c:cat>
            <c:strRef>
              <c:f>{"财政拨款收、支决算总计变动情况"}</c:f>
              <c:strCache>
                <c:ptCount val="1"/>
                <c:pt idx="0">
                  <c:v>财政拨款收、支决算总计变动情况</c:v>
                </c:pt>
              </c:strCache>
            </c:strRef>
          </c:cat>
          <c:val>
            <c:numRef>
              <c:f>'[新建 Excel 2007 (2).xlsx]Sheet1'!$B$2</c:f>
              <c:numCache>
                <c:formatCode>General</c:formatCode>
                <c:ptCount val="1"/>
                <c:pt idx="0">
                  <c:v>665.38</c:v>
                </c:pt>
              </c:numCache>
            </c:numRef>
          </c:val>
        </c:ser>
        <c:ser>
          <c:idx val="1"/>
          <c:order val="1"/>
          <c:tx>
            <c:strRef>
              <c:f>'[新建 Excel 2007 (2).xlsx]Sheet1'!$A$3</c:f>
              <c:strCache>
                <c:ptCount val="1"/>
                <c:pt idx="0">
                  <c:v>2021</c:v>
                </c:pt>
              </c:strCache>
            </c:strRef>
          </c:tx>
          <c:spPr>
            <a:solidFill>
              <a:schemeClr val="accent2"/>
            </a:solidFill>
            <a:ln>
              <a:noFill/>
            </a:ln>
            <a:effectLst/>
          </c:spPr>
          <c:invertIfNegative val="0"/>
          <c:dLbls>
            <c:delete val="1"/>
          </c:dLbls>
          <c:cat>
            <c:strRef>
              <c:f>{"财政拨款收、支决算总计变动情况"}</c:f>
              <c:strCache>
                <c:ptCount val="1"/>
                <c:pt idx="0">
                  <c:v>财政拨款收、支决算总计变动情况</c:v>
                </c:pt>
              </c:strCache>
            </c:strRef>
          </c:cat>
          <c:val>
            <c:numRef>
              <c:f>'[新建 Excel 2007 (2).xlsx]Sheet1'!$B$3</c:f>
              <c:numCache>
                <c:formatCode>General</c:formatCode>
                <c:ptCount val="1"/>
                <c:pt idx="0">
                  <c:v>661.83</c:v>
                </c:pt>
              </c:numCache>
            </c:numRef>
          </c:val>
        </c:ser>
        <c:dLbls>
          <c:showLegendKey val="0"/>
          <c:showVal val="0"/>
          <c:showCatName val="0"/>
          <c:showSerName val="0"/>
          <c:showPercent val="0"/>
          <c:showBubbleSize val="0"/>
        </c:dLbls>
        <c:gapWidth val="219"/>
        <c:overlap val="-27"/>
        <c:axId val="905368044"/>
        <c:axId val="21190895"/>
      </c:barChart>
      <c:catAx>
        <c:axId val="9053680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90895"/>
        <c:crosses val="autoZero"/>
        <c:auto val="1"/>
        <c:lblAlgn val="ctr"/>
        <c:lblOffset val="100"/>
        <c:noMultiLvlLbl val="0"/>
      </c:catAx>
      <c:valAx>
        <c:axId val="2119089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3680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50294695481336"/>
          <c:y val="0.126984126984127"/>
          <c:w val="0.737401768172888"/>
          <c:h val="0.689433106575964"/>
        </c:manualLayout>
      </c:layout>
      <c:barChart>
        <c:barDir val="col"/>
        <c:grouping val="clustered"/>
        <c:varyColors val="0"/>
        <c:ser>
          <c:idx val="0"/>
          <c:order val="0"/>
          <c:tx>
            <c:strRef>
              <c:f>'[新建 Excel 2007 (2).xlsx]Sheet1'!$A$2</c:f>
              <c:strCache>
                <c:ptCount val="1"/>
                <c:pt idx="0">
                  <c:v>2020</c:v>
                </c:pt>
              </c:strCache>
            </c:strRef>
          </c:tx>
          <c:spPr>
            <a:solidFill>
              <a:schemeClr val="accent1"/>
            </a:solidFill>
            <a:ln>
              <a:noFill/>
            </a:ln>
            <a:effectLst/>
          </c:spPr>
          <c:invertIfNegative val="0"/>
          <c:dLbls>
            <c:delete val="1"/>
          </c:dLbls>
          <c:cat>
            <c:strRef>
              <c:f>{"一般公共预算财政拨款支出决算变动情况"}</c:f>
              <c:strCache>
                <c:ptCount val="1"/>
                <c:pt idx="0">
                  <c:v>一般公共预算财政拨款支出决算变动情况</c:v>
                </c:pt>
              </c:strCache>
            </c:strRef>
          </c:cat>
          <c:val>
            <c:numRef>
              <c:f>'[新建 Excel 2007 (2).xlsx]Sheet1'!$B$2</c:f>
              <c:numCache>
                <c:formatCode>General</c:formatCode>
                <c:ptCount val="1"/>
                <c:pt idx="0">
                  <c:v>527.59</c:v>
                </c:pt>
              </c:numCache>
            </c:numRef>
          </c:val>
        </c:ser>
        <c:ser>
          <c:idx val="1"/>
          <c:order val="1"/>
          <c:tx>
            <c:strRef>
              <c:f>'[新建 Excel 2007 (2).xlsx]Sheet1'!$A$3</c:f>
              <c:strCache>
                <c:ptCount val="1"/>
                <c:pt idx="0">
                  <c:v>2021</c:v>
                </c:pt>
              </c:strCache>
            </c:strRef>
          </c:tx>
          <c:spPr>
            <a:solidFill>
              <a:schemeClr val="accent2"/>
            </a:solidFill>
            <a:ln>
              <a:noFill/>
            </a:ln>
            <a:effectLst/>
          </c:spPr>
          <c:invertIfNegative val="0"/>
          <c:dLbls>
            <c:delete val="1"/>
          </c:dLbls>
          <c:cat>
            <c:strRef>
              <c:f>{"一般公共预算财政拨款支出决算变动情况"}</c:f>
              <c:strCache>
                <c:ptCount val="1"/>
                <c:pt idx="0">
                  <c:v>一般公共预算财政拨款支出决算变动情况</c:v>
                </c:pt>
              </c:strCache>
            </c:strRef>
          </c:cat>
          <c:val>
            <c:numRef>
              <c:f>'[新建 Excel 2007 (2).xlsx]Sheet1'!$B$3</c:f>
              <c:numCache>
                <c:formatCode>General</c:formatCode>
                <c:ptCount val="1"/>
                <c:pt idx="0">
                  <c:v>599.05</c:v>
                </c:pt>
              </c:numCache>
            </c:numRef>
          </c:val>
        </c:ser>
        <c:dLbls>
          <c:showLegendKey val="0"/>
          <c:showVal val="0"/>
          <c:showCatName val="0"/>
          <c:showSerName val="0"/>
          <c:showPercent val="0"/>
          <c:showBubbleSize val="0"/>
        </c:dLbls>
        <c:gapWidth val="219"/>
        <c:overlap val="-27"/>
        <c:axId val="905368044"/>
        <c:axId val="21190895"/>
      </c:barChart>
      <c:catAx>
        <c:axId val="9053680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90895"/>
        <c:crosses val="autoZero"/>
        <c:auto val="1"/>
        <c:lblAlgn val="ctr"/>
        <c:lblOffset val="100"/>
        <c:noMultiLvlLbl val="0"/>
      </c:catAx>
      <c:valAx>
        <c:axId val="2119089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3680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297244789826916"/>
          <c:y val="0.0225903614457831"/>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87</a:t>
                    </a:r>
                    <a:r>
                      <a:rPr lang="en-US" altLang="zh-CN"/>
                      <a:t>.51</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a:t>
                    </a:r>
                    <a:r>
                      <a:rPr lang="en-US" altLang="zh-CN"/>
                      <a:t>.07</a:t>
                    </a:r>
                    <a:endParaRPr lang="en-US" altLang="zh-CN"/>
                  </a:p>
                  <a:p>
                    <a:pPr defTabSz="914400">
                      <a:defRPr lang="zh-CN" sz="900" b="0" i="0" u="none" strike="noStrike" kern="1200" baseline="0">
                        <a:solidFill>
                          <a:schemeClr val="tx1">
                            <a:lumMod val="75000"/>
                            <a:lumOff val="25000"/>
                          </a:schemeClr>
                        </a:solidFill>
                        <a:latin typeface="+mn-lt"/>
                        <a:ea typeface="+mn-ea"/>
                        <a:cs typeface="+mn-cs"/>
                      </a:defRPr>
                    </a:pP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5.84</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2.94</a:t>
                    </a:r>
                    <a:endParaRPr lang="en-US" altLang="zh-CN"/>
                  </a:p>
                  <a:p>
                    <a:pPr defTabSz="914400">
                      <a:defRPr lang="zh-CN" sz="900" b="0" i="0" u="none" strike="noStrike" kern="1200" baseline="0">
                        <a:solidFill>
                          <a:schemeClr val="tx1">
                            <a:lumMod val="75000"/>
                            <a:lumOff val="25000"/>
                          </a:schemeClr>
                        </a:solidFill>
                        <a:latin typeface="+mn-lt"/>
                        <a:ea typeface="+mn-ea"/>
                        <a:cs typeface="+mn-cs"/>
                      </a:defRPr>
                    </a:pP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3.64</a:t>
                    </a:r>
                    <a:r>
                      <a:t>%</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Excel 2007 (2).xlsx]Sheet2'!$B$4:$B$8</c:f>
              <c:strCache>
                <c:ptCount val="5"/>
                <c:pt idx="0">
                  <c:v>一般公共服务（类）支出</c:v>
                </c:pt>
                <c:pt idx="1">
                  <c:v>教育支出（类）</c:v>
                </c:pt>
                <c:pt idx="2">
                  <c:v>社会保障和就业（类）支出</c:v>
                </c:pt>
                <c:pt idx="3">
                  <c:v>卫生健康支出</c:v>
                </c:pt>
                <c:pt idx="4">
                  <c:v>住房保障支出</c:v>
                </c:pt>
              </c:strCache>
            </c:strRef>
          </c:cat>
          <c:val>
            <c:numRef>
              <c:f>'[新建 Excel 2007 (2).xlsx]Sheet2'!$C$4:$C$8</c:f>
              <c:numCache>
                <c:formatCode>General</c:formatCode>
                <c:ptCount val="5"/>
                <c:pt idx="0">
                  <c:v>524.21</c:v>
                </c:pt>
                <c:pt idx="1">
                  <c:v>0.41</c:v>
                </c:pt>
                <c:pt idx="2">
                  <c:v>35.01</c:v>
                </c:pt>
                <c:pt idx="3">
                  <c:v>17.64</c:v>
                </c:pt>
                <c:pt idx="4">
                  <c:v>21.78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manualLayout>
          <c:xMode val="edge"/>
          <c:yMode val="edge"/>
          <c:x val="0.298569410102437"/>
          <c:y val="0.0225903614457831"/>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19.78</a:t>
                    </a:r>
                    <a:r>
                      <a:t>%</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80</a:t>
                    </a:r>
                    <a:r>
                      <a:rPr lang="en-US" altLang="zh-CN"/>
                      <a:t>.22</a:t>
                    </a:r>
                    <a:r>
                      <a:t>%</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'[新建 Excel 2007 (2).xlsx]Sheet2'!$B$4:$B$8</c15:sqref>
                  </c15:fullRef>
                </c:ext>
              </c:extLst>
              <c:f>'[新建 Excel 2007 (2).xlsx]Sheet2'!$B$4:$B$6</c:f>
              <c:strCache>
                <c:ptCount val="3"/>
                <c:pt idx="0">
                  <c:v>因公出国（境）费支出</c:v>
                </c:pt>
                <c:pt idx="1">
                  <c:v>公务用车购置及运行维护费支出</c:v>
                </c:pt>
                <c:pt idx="2">
                  <c:v>公务接待费支出</c:v>
                </c:pt>
              </c:strCache>
            </c:strRef>
          </c:cat>
          <c:val>
            <c:numRef>
              <c:extLst>
                <c:ext xmlns:c15="http://schemas.microsoft.com/office/drawing/2012/chart" uri="{02D57815-91ED-43cb-92C2-25804820EDAC}">
                  <c15:fullRef>
                    <c15:sqref>Sheet2!$C$4:$C$8</c15:sqref>
                  </c15:fullRef>
                </c:ext>
              </c:extLst>
              <c:f>'[新建 Excel 2007 (2).xlsx]Sheet2'!$C$4:$C$6</c:f>
              <c:numCache>
                <c:formatCode>General</c:formatCode>
                <c:ptCount val="3"/>
                <c:pt idx="0">
                  <c:v>0</c:v>
                </c:pt>
                <c:pt idx="1">
                  <c:v>2.12</c:v>
                </c:pt>
                <c:pt idx="2">
                  <c:v>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0.870579567779961</cdr:x>
      <cdr:y>0.103174603174603</cdr:y>
    </cdr:from>
    <cdr:to>
      <cdr:x>1</cdr:x>
      <cdr:y>0.429705215419501</cdr:y>
    </cdr:to>
    <cdr:sp>
      <cdr:nvSpPr>
        <cdr:cNvPr id="2" name="矩形 1"/>
        <cdr:cNvSpPr/>
      </cdr:nvSpPr>
      <cdr:spPr xmlns:a="http://schemas.openxmlformats.org/drawingml/2006/main">
        <a:xfrm xmlns:a="http://schemas.openxmlformats.org/drawingml/2006/main">
          <a:off x="4502150" y="288925"/>
          <a:ext cx="669290" cy="914400"/>
        </a:xfrm>
        <a:prstGeom xmlns:a="http://schemas.openxmlformats.org/drawingml/2006/main" prst="rect">
          <a:avLst/>
        </a:prstGeom>
      </cdr:spPr>
      <cdr:txBody xmlns:a="http://schemas.openxmlformats.org/drawingml/2006/main">
        <a:bodyPr vert="horz" wrap="none" lIns="45720" tIns="45720" rIns="45720" bIns="45720" anchor="t" anchorCtr="0">
          <a:spAutoFit/>
        </a:bodyPr>
        <a:p>
          <a:endParaRPr lang="zh-CN" altLang="en-US"/>
        </a:p>
      </cdr:txBody>
    </cdr:sp>
  </cdr:relSizeAnchor>
  <cdr:relSizeAnchor xmlns:cdr="http://schemas.openxmlformats.org/drawingml/2006/chartDrawing">
    <cdr:from>
      <cdr:x>0.820849705304519</cdr:x>
      <cdr:y>0.160997732426304</cdr:y>
    </cdr:from>
    <cdr:to>
      <cdr:x>1</cdr:x>
      <cdr:y>0.324036281179138</cdr:y>
    </cdr:to>
    <cdr:sp>
      <cdr:nvSpPr>
        <cdr:cNvPr id="3" name="矩形 2"/>
        <cdr:cNvSpPr/>
      </cdr:nvSpPr>
      <cdr:spPr xmlns:a="http://schemas.openxmlformats.org/drawingml/2006/main">
        <a:xfrm xmlns:a="http://schemas.openxmlformats.org/drawingml/2006/main">
          <a:off x="4244975" y="450850"/>
          <a:ext cx="926465" cy="456565"/>
        </a:xfrm>
        <a:prstGeom xmlns:a="http://schemas.openxmlformats.org/drawingml/2006/main" prst="rect">
          <a:avLst/>
        </a:prstGeom>
      </cdr:spPr>
      <cdr:txBody xmlns:a="http://schemas.openxmlformats.org/drawingml/2006/main">
        <a:bodyPr vert="horz" wrap="none" lIns="45720" tIns="45720" rIns="45720" bIns="45720" anchor="t" anchorCtr="0">
          <a:normAutofit/>
        </a:bodyPr>
        <a:p>
          <a:r>
            <a:rPr lang="zh-CN" altLang="en-US" sz="600"/>
            <a:t>单位：万元</a:t>
          </a:r>
          <a:endParaRPr lang="zh-CN" altLang="en-US" sz="600"/>
        </a:p>
      </cdr:txBody>
    </cdr:sp>
  </cdr:relSizeAnchor>
</c:userShapes>
</file>

<file path=word/drawings/drawing2.xml><?xml version="1.0" encoding="utf-8"?>
<c:userShapes xmlns:c="http://schemas.openxmlformats.org/drawingml/2006/chart">
  <cdr:relSizeAnchor xmlns:cdr="http://schemas.openxmlformats.org/drawingml/2006/chartDrawing">
    <cdr:from>
      <cdr:x>0.870579567779961</cdr:x>
      <cdr:y>0.103174603174603</cdr:y>
    </cdr:from>
    <cdr:to>
      <cdr:x>1</cdr:x>
      <cdr:y>0.429705215419501</cdr:y>
    </cdr:to>
    <cdr:sp>
      <cdr:nvSpPr>
        <cdr:cNvPr id="2" name="矩形 1"/>
        <cdr:cNvSpPr/>
      </cdr:nvSpPr>
      <cdr:spPr xmlns:a="http://schemas.openxmlformats.org/drawingml/2006/main">
        <a:xfrm xmlns:a="http://schemas.openxmlformats.org/drawingml/2006/main">
          <a:off x="4502150" y="288925"/>
          <a:ext cx="669290" cy="914400"/>
        </a:xfrm>
        <a:prstGeom xmlns:a="http://schemas.openxmlformats.org/drawingml/2006/main" prst="rect">
          <a:avLst/>
        </a:prstGeom>
      </cdr:spPr>
      <cdr:txBody xmlns:a="http://schemas.openxmlformats.org/drawingml/2006/main">
        <a:bodyPr vert="horz" wrap="none" lIns="45720" tIns="45720" rIns="45720" bIns="45720" anchor="t" anchorCtr="0">
          <a:spAutoFit/>
        </a:bodyPr>
        <a:p>
          <a:endParaRPr lang="zh-CN" altLang="en-US"/>
        </a:p>
      </cdr:txBody>
    </cdr:sp>
  </cdr:relSizeAnchor>
  <cdr:relSizeAnchor xmlns:cdr="http://schemas.openxmlformats.org/drawingml/2006/chartDrawing">
    <cdr:from>
      <cdr:x>0.820849705304519</cdr:x>
      <cdr:y>0.160997732426304</cdr:y>
    </cdr:from>
    <cdr:to>
      <cdr:x>1</cdr:x>
      <cdr:y>0.324036281179138</cdr:y>
    </cdr:to>
    <cdr:sp>
      <cdr:nvSpPr>
        <cdr:cNvPr id="3" name="矩形 2"/>
        <cdr:cNvSpPr/>
      </cdr:nvSpPr>
      <cdr:spPr xmlns:a="http://schemas.openxmlformats.org/drawingml/2006/main">
        <a:xfrm xmlns:a="http://schemas.openxmlformats.org/drawingml/2006/main">
          <a:off x="4244975" y="450850"/>
          <a:ext cx="926465" cy="456565"/>
        </a:xfrm>
        <a:prstGeom xmlns:a="http://schemas.openxmlformats.org/drawingml/2006/main" prst="rect">
          <a:avLst/>
        </a:prstGeom>
      </cdr:spPr>
      <cdr:txBody xmlns:a="http://schemas.openxmlformats.org/drawingml/2006/main">
        <a:bodyPr vert="horz" wrap="none" lIns="45720" tIns="45720" rIns="45720" bIns="45720" anchor="t" anchorCtr="0">
          <a:normAutofit/>
        </a:bodyPr>
        <a:p>
          <a:r>
            <a:rPr lang="zh-CN" altLang="en-US" sz="600"/>
            <a:t>单位：万元</a:t>
          </a:r>
          <a:endParaRPr lang="zh-CN" altLang="en-US" sz="600"/>
        </a:p>
      </cdr:txBody>
    </cdr:sp>
  </cdr:relSizeAnchor>
</c:userShapes>
</file>

<file path=word/drawings/drawing3.xml><?xml version="1.0" encoding="utf-8"?>
<c:userShapes xmlns:c="http://schemas.openxmlformats.org/drawingml/2006/chart">
  <cdr:relSizeAnchor xmlns:cdr="http://schemas.openxmlformats.org/drawingml/2006/chartDrawing">
    <cdr:from>
      <cdr:x>0.870579567779961</cdr:x>
      <cdr:y>0.103174603174603</cdr:y>
    </cdr:from>
    <cdr:to>
      <cdr:x>1</cdr:x>
      <cdr:y>0.429705215419501</cdr:y>
    </cdr:to>
    <cdr:sp>
      <cdr:nvSpPr>
        <cdr:cNvPr id="2" name="矩形 1"/>
        <cdr:cNvSpPr/>
      </cdr:nvSpPr>
      <cdr:spPr xmlns:a="http://schemas.openxmlformats.org/drawingml/2006/main">
        <a:xfrm xmlns:a="http://schemas.openxmlformats.org/drawingml/2006/main">
          <a:off x="4502150" y="288925"/>
          <a:ext cx="669290" cy="914400"/>
        </a:xfrm>
        <a:prstGeom xmlns:a="http://schemas.openxmlformats.org/drawingml/2006/main" prst="rect">
          <a:avLst/>
        </a:prstGeom>
      </cdr:spPr>
      <cdr:txBody xmlns:a="http://schemas.openxmlformats.org/drawingml/2006/main">
        <a:bodyPr vert="horz" wrap="none" lIns="45720" tIns="45720" rIns="45720" bIns="45720" anchor="t" anchorCtr="0">
          <a:spAutoFit/>
        </a:bodyPr>
        <a:p>
          <a:endParaRPr lang="zh-CN" altLang="en-US"/>
        </a:p>
      </cdr:txBody>
    </cdr:sp>
  </cdr:relSizeAnchor>
  <cdr:relSizeAnchor xmlns:cdr="http://schemas.openxmlformats.org/drawingml/2006/chartDrawing">
    <cdr:from>
      <cdr:x>0.820849705304519</cdr:x>
      <cdr:y>0.160997732426304</cdr:y>
    </cdr:from>
    <cdr:to>
      <cdr:x>1</cdr:x>
      <cdr:y>0.324036281179138</cdr:y>
    </cdr:to>
    <cdr:sp>
      <cdr:nvSpPr>
        <cdr:cNvPr id="3" name="矩形 2"/>
        <cdr:cNvSpPr/>
      </cdr:nvSpPr>
      <cdr:spPr xmlns:a="http://schemas.openxmlformats.org/drawingml/2006/main">
        <a:xfrm xmlns:a="http://schemas.openxmlformats.org/drawingml/2006/main">
          <a:off x="4244975" y="450850"/>
          <a:ext cx="926465" cy="456565"/>
        </a:xfrm>
        <a:prstGeom xmlns:a="http://schemas.openxmlformats.org/drawingml/2006/main" prst="rect">
          <a:avLst/>
        </a:prstGeom>
      </cdr:spPr>
      <cdr:txBody xmlns:a="http://schemas.openxmlformats.org/drawingml/2006/main">
        <a:bodyPr vert="horz" wrap="none" lIns="45720" tIns="45720" rIns="45720" bIns="45720" anchor="t" anchorCtr="0">
          <a:normAutofit/>
        </a:bodyPr>
        <a:p>
          <a:r>
            <a:rPr lang="zh-CN" altLang="en-US" sz="600"/>
            <a:t>单位：万元</a:t>
          </a:r>
          <a:endParaRPr lang="zh-CN" altLang="en-US" sz="6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Administrator</cp:lastModifiedBy>
  <cp:lastPrinted>2022-09-06T18:32:00Z</cp:lastPrinted>
  <dcterms:modified xsi:type="dcterms:W3CDTF">2022-11-11T04:40:16Z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