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outlineLvl w:val="0"/>
        <w:rPr>
          <w:rFonts w:hint="eastAsia" w:eastAsia="方正小标宋简体"/>
          <w:color w:val="000000"/>
          <w:sz w:val="30"/>
          <w:szCs w:val="30"/>
        </w:rPr>
      </w:pPr>
      <w:bookmarkStart w:id="0" w:name="_Toc15306267"/>
    </w:p>
    <w:p>
      <w:pPr>
        <w:spacing w:line="560" w:lineRule="exact"/>
        <w:jc w:val="center"/>
        <w:outlineLvl w:val="0"/>
        <w:rPr>
          <w:rFonts w:eastAsia="方正小标宋简体"/>
          <w:color w:val="000000"/>
          <w:sz w:val="72"/>
          <w:szCs w:val="72"/>
        </w:rPr>
      </w:pPr>
    </w:p>
    <w:p>
      <w:pPr>
        <w:spacing w:line="560" w:lineRule="exact"/>
        <w:jc w:val="center"/>
        <w:outlineLvl w:val="0"/>
        <w:rPr>
          <w:rFonts w:eastAsia="方正小标宋简体"/>
          <w:color w:val="000000"/>
          <w:sz w:val="72"/>
          <w:szCs w:val="72"/>
        </w:rPr>
      </w:pPr>
    </w:p>
    <w:p>
      <w:pPr>
        <w:spacing w:line="360" w:lineRule="auto"/>
        <w:jc w:val="center"/>
        <w:outlineLvl w:val="0"/>
        <w:rPr>
          <w:rFonts w:eastAsia="方正小标宋简体"/>
          <w:color w:val="000000"/>
          <w:sz w:val="48"/>
          <w:szCs w:val="48"/>
        </w:rPr>
      </w:pPr>
    </w:p>
    <w:p>
      <w:pPr>
        <w:adjustRightInd w:val="0"/>
        <w:snapToGrid w:val="0"/>
        <w:spacing w:line="360" w:lineRule="auto"/>
        <w:jc w:val="center"/>
        <w:outlineLvl w:val="0"/>
        <w:rPr>
          <w:rFonts w:ascii="方正小标宋简体" w:eastAsia="方正小标宋简体"/>
          <w:sz w:val="52"/>
          <w:szCs w:val="52"/>
        </w:rPr>
      </w:pPr>
      <w:bookmarkStart w:id="1" w:name="_Toc15396475"/>
      <w:bookmarkStart w:id="2" w:name="_Toc15377193"/>
      <w:bookmarkStart w:id="3" w:name="_Toc15396597"/>
      <w:bookmarkStart w:id="4" w:name="_Toc15377425"/>
      <w:bookmarkStart w:id="5" w:name="_Toc15378441"/>
      <w:r>
        <w:rPr>
          <w:rFonts w:hint="eastAsia" w:ascii="方正小标宋简体" w:eastAsia="方正小标宋简体"/>
          <w:sz w:val="52"/>
          <w:szCs w:val="52"/>
        </w:rPr>
        <w:t>2021年度</w:t>
      </w:r>
      <w:bookmarkEnd w:id="1"/>
      <w:bookmarkEnd w:id="2"/>
      <w:bookmarkEnd w:id="3"/>
      <w:bookmarkEnd w:id="4"/>
      <w:bookmarkEnd w:id="5"/>
    </w:p>
    <w:p>
      <w:pPr>
        <w:adjustRightInd w:val="0"/>
        <w:snapToGrid w:val="0"/>
        <w:spacing w:line="360" w:lineRule="auto"/>
        <w:jc w:val="center"/>
        <w:outlineLvl w:val="0"/>
        <w:rPr>
          <w:rFonts w:ascii="方正小标宋简体" w:eastAsia="方正小标宋简体"/>
          <w:sz w:val="52"/>
          <w:szCs w:val="52"/>
        </w:rPr>
      </w:pPr>
      <w:bookmarkStart w:id="6" w:name="_Toc15377426"/>
      <w:bookmarkStart w:id="7" w:name="_Toc15378442"/>
      <w:bookmarkStart w:id="8" w:name="_Toc15396598"/>
      <w:bookmarkStart w:id="9" w:name="_Toc15377194"/>
      <w:bookmarkStart w:id="10" w:name="_Toc15396476"/>
      <w:r>
        <w:rPr>
          <w:rFonts w:hint="eastAsia" w:ascii="方正小标宋简体" w:eastAsia="方正小标宋简体"/>
          <w:sz w:val="52"/>
          <w:szCs w:val="52"/>
        </w:rPr>
        <w:t>四川</w:t>
      </w:r>
      <w:bookmarkEnd w:id="0"/>
      <w:bookmarkStart w:id="11" w:name="_Toc15306268"/>
      <w:r>
        <w:rPr>
          <w:rFonts w:hint="eastAsia" w:ascii="方正小标宋简体" w:eastAsia="方正小标宋简体"/>
          <w:sz w:val="52"/>
          <w:szCs w:val="52"/>
        </w:rPr>
        <w:t>省人民政府驻广州办事处</w:t>
      </w:r>
    </w:p>
    <w:p>
      <w:pPr>
        <w:adjustRightInd w:val="0"/>
        <w:snapToGrid w:val="0"/>
        <w:spacing w:line="360" w:lineRule="auto"/>
        <w:jc w:val="center"/>
        <w:outlineLvl w:val="0"/>
        <w:rPr>
          <w:rFonts w:ascii="方正小标宋简体" w:eastAsia="方正小标宋简体"/>
          <w:sz w:val="52"/>
          <w:szCs w:val="52"/>
        </w:rPr>
      </w:pPr>
      <w:r>
        <w:rPr>
          <w:rFonts w:hint="eastAsia" w:ascii="方正小标宋简体" w:eastAsia="方正小标宋简体"/>
          <w:sz w:val="52"/>
          <w:szCs w:val="52"/>
        </w:rPr>
        <w:t>单位决算</w:t>
      </w:r>
      <w:bookmarkEnd w:id="6"/>
      <w:bookmarkEnd w:id="7"/>
      <w:bookmarkEnd w:id="8"/>
      <w:bookmarkEnd w:id="9"/>
      <w:bookmarkEnd w:id="10"/>
      <w:bookmarkEnd w:id="11"/>
    </w:p>
    <w:p>
      <w:pPr>
        <w:adjustRightInd w:val="0"/>
        <w:snapToGrid w:val="0"/>
        <w:spacing w:line="560" w:lineRule="exact"/>
        <w:outlineLvl w:val="0"/>
        <w:rPr>
          <w:rFonts w:eastAsia="方正小标宋简体"/>
          <w:sz w:val="52"/>
          <w:szCs w:val="52"/>
        </w:rPr>
      </w:pPr>
    </w:p>
    <w:p>
      <w:pPr>
        <w:widowControl/>
        <w:spacing w:line="560" w:lineRule="exact"/>
        <w:jc w:val="center"/>
        <w:rPr>
          <w:rFonts w:eastAsia="黑体"/>
          <w:sz w:val="48"/>
          <w:szCs w:val="48"/>
        </w:rPr>
        <w:sectPr>
          <w:headerReference r:id="rId3" w:type="default"/>
          <w:footerReference r:id="rId4" w:type="default"/>
          <w:pgSz w:w="11906" w:h="16838"/>
          <w:pgMar w:top="1440" w:right="1531" w:bottom="1417" w:left="1587" w:header="851" w:footer="992" w:gutter="0"/>
          <w:pgNumType w:start="1"/>
          <w:cols w:space="425" w:num="1"/>
          <w:titlePg/>
          <w:docGrid w:type="lines" w:linePitch="312" w:charSpace="0"/>
        </w:sectPr>
      </w:pPr>
    </w:p>
    <w:p>
      <w:pPr>
        <w:widowControl/>
        <w:spacing w:line="560" w:lineRule="exact"/>
        <w:jc w:val="center"/>
        <w:rPr>
          <w:rFonts w:ascii="黑体" w:hAnsi="黑体" w:eastAsia="黑体" w:cs="方正小标宋_GBK"/>
          <w:bCs/>
          <w:kern w:val="44"/>
          <w:sz w:val="48"/>
          <w:szCs w:val="48"/>
        </w:rPr>
      </w:pPr>
      <w:r>
        <w:rPr>
          <w:rFonts w:hint="eastAsia" w:ascii="黑体" w:hAnsi="黑体" w:eastAsia="黑体" w:cs="方正小标宋_GBK"/>
          <w:bCs/>
          <w:kern w:val="44"/>
          <w:sz w:val="48"/>
          <w:szCs w:val="48"/>
        </w:rPr>
        <w:t>目 录</w:t>
      </w:r>
    </w:p>
    <w:p>
      <w:pPr>
        <w:pStyle w:val="2"/>
        <w:spacing w:beforeLines="0"/>
      </w:pPr>
    </w:p>
    <w:p>
      <w:pPr>
        <w:pStyle w:val="10"/>
        <w:adjustRightInd w:val="0"/>
        <w:snapToGrid w:val="0"/>
        <w:spacing w:before="0" w:line="560" w:lineRule="exact"/>
        <w:jc w:val="left"/>
        <w:rPr>
          <w:rFonts w:eastAsia="方正粗黑宋简体"/>
        </w:rPr>
      </w:pPr>
      <w:r>
        <w:rPr>
          <w:rFonts w:hint="eastAsia" w:ascii="方正粗黑宋简体" w:hAnsi="方正粗黑宋简体" w:eastAsia="方正粗黑宋简体" w:cs="方正粗黑宋简体"/>
          <w:sz w:val="24"/>
          <w:szCs w:val="24"/>
        </w:rPr>
        <w:t>第一部分 单位概况</w:t>
      </w:r>
      <w:r>
        <w:rPr>
          <w:rFonts w:hint="eastAsia" w:ascii="方正粗黑宋简体" w:hAnsi="方正粗黑宋简体" w:eastAsia="方正粗黑宋简体" w:cs="方正粗黑宋简体"/>
          <w:sz w:val="24"/>
          <w:szCs w:val="24"/>
        </w:rPr>
        <w:tab/>
      </w:r>
      <w:r>
        <w:rPr>
          <w:rFonts w:hint="eastAsia" w:ascii="Times New Roman" w:hAnsi="Times New Roman" w:eastAsia="宋体"/>
          <w:sz w:val="24"/>
          <w:szCs w:val="24"/>
        </w:rPr>
        <w:t>1</w:t>
      </w:r>
    </w:p>
    <w:p>
      <w:pPr>
        <w:pStyle w:val="11"/>
        <w:adjustRightInd w:val="0"/>
        <w:snapToGrid w:val="0"/>
        <w:spacing w:line="550" w:lineRule="exact"/>
        <w:jc w:val="left"/>
        <w:rPr>
          <w:sz w:val="24"/>
        </w:rPr>
      </w:pPr>
      <w:r>
        <w:rPr>
          <w:rFonts w:hint="eastAsia"/>
          <w:sz w:val="24"/>
        </w:rPr>
        <w:t>一、职能简介</w:t>
      </w:r>
      <w:r>
        <w:rPr>
          <w:rFonts w:hint="eastAsia"/>
          <w:sz w:val="24"/>
        </w:rPr>
        <w:tab/>
      </w:r>
      <w:r>
        <w:rPr>
          <w:rFonts w:hint="eastAsia"/>
          <w:sz w:val="24"/>
        </w:rPr>
        <w:t>1</w:t>
      </w:r>
    </w:p>
    <w:p>
      <w:pPr>
        <w:pStyle w:val="11"/>
        <w:keepNext w:val="0"/>
        <w:keepLines w:val="0"/>
        <w:pageBreakBefore w:val="0"/>
        <w:widowControl w:val="0"/>
        <w:kinsoku/>
        <w:wordWrap/>
        <w:overflowPunct/>
        <w:topLinePunct w:val="0"/>
        <w:autoSpaceDE/>
        <w:autoSpaceDN/>
        <w:bidi w:val="0"/>
        <w:adjustRightInd w:val="0"/>
        <w:snapToGrid w:val="0"/>
        <w:spacing w:line="550" w:lineRule="atLeast"/>
        <w:jc w:val="left"/>
        <w:textAlignment w:val="auto"/>
        <w:rPr>
          <w:rFonts w:hint="eastAsia"/>
          <w:sz w:val="24"/>
        </w:rPr>
      </w:pPr>
      <w:r>
        <w:rPr>
          <w:rFonts w:hint="eastAsia" w:eastAsiaTheme="minorEastAsia" w:cstheme="minorEastAsia"/>
          <w:sz w:val="24"/>
        </w:rPr>
        <w:t>二、2021年重点工作完成情况</w:t>
      </w:r>
      <w:r>
        <w:rPr>
          <w:rFonts w:hint="eastAsia" w:eastAsiaTheme="minorEastAsia" w:cstheme="minorEastAsia"/>
          <w:sz w:val="24"/>
        </w:rPr>
        <w:tab/>
      </w:r>
      <w:r>
        <w:rPr>
          <w:rFonts w:hint="eastAsia"/>
          <w:sz w:val="24"/>
        </w:rPr>
        <w:t>2</w:t>
      </w:r>
    </w:p>
    <w:p>
      <w:pPr>
        <w:keepNext w:val="0"/>
        <w:keepLines w:val="0"/>
        <w:pageBreakBefore w:val="0"/>
        <w:widowControl w:val="0"/>
        <w:kinsoku/>
        <w:wordWrap/>
        <w:overflowPunct/>
        <w:topLinePunct w:val="0"/>
        <w:autoSpaceDE/>
        <w:autoSpaceDN/>
        <w:bidi w:val="0"/>
        <w:spacing w:line="550" w:lineRule="atLeast"/>
        <w:ind w:firstLine="480" w:firstLineChars="200"/>
        <w:textAlignment w:val="auto"/>
        <w:rPr>
          <w:rFonts w:hint="default" w:eastAsia="宋体"/>
          <w:lang w:val="en-US" w:eastAsia="zh-CN"/>
        </w:rPr>
      </w:pPr>
      <w:bookmarkStart w:id="67" w:name="_GoBack"/>
      <w:bookmarkEnd w:id="67"/>
      <w:r>
        <w:rPr>
          <w:rFonts w:hint="eastAsia"/>
          <w:sz w:val="24"/>
          <w:lang w:val="en-US" w:eastAsia="zh-CN"/>
        </w:rPr>
        <w:t>三、机构设置情况</w:t>
      </w:r>
      <w:r>
        <w:rPr>
          <w:rFonts w:hint="eastAsia"/>
          <w:sz w:val="24"/>
          <w:lang w:val="en-US" w:eastAsia="zh-CN"/>
        </w:rPr>
        <w:tab/>
      </w:r>
      <w:r>
        <w:rPr>
          <w:rFonts w:hint="eastAsia"/>
          <w:sz w:val="24"/>
          <w:lang w:val="en-US" w:eastAsia="zh-CN"/>
        </w:rPr>
        <w:t>..............................................................................................5</w:t>
      </w:r>
    </w:p>
    <w:p>
      <w:pPr>
        <w:pStyle w:val="10"/>
        <w:keepNext w:val="0"/>
        <w:keepLines w:val="0"/>
        <w:pageBreakBefore w:val="0"/>
        <w:widowControl w:val="0"/>
        <w:kinsoku/>
        <w:wordWrap/>
        <w:overflowPunct/>
        <w:topLinePunct w:val="0"/>
        <w:autoSpaceDE/>
        <w:autoSpaceDN/>
        <w:bidi w:val="0"/>
        <w:adjustRightInd w:val="0"/>
        <w:snapToGrid w:val="0"/>
        <w:spacing w:before="0" w:line="550" w:lineRule="atLeast"/>
        <w:ind w:firstLine="480" w:firstLineChars="200"/>
        <w:jc w:val="left"/>
        <w:textAlignment w:val="auto"/>
        <w:rPr>
          <w:rFonts w:ascii="方正粗黑宋简体" w:hAnsi="方正粗黑宋简体" w:eastAsia="方正粗黑宋简体" w:cs="方正粗黑宋简体"/>
          <w:sz w:val="24"/>
        </w:rPr>
      </w:pPr>
      <w:r>
        <w:rPr>
          <w:rFonts w:hint="eastAsia" w:ascii="方正粗黑宋简体" w:hAnsi="方正粗黑宋简体" w:eastAsia="方正粗黑宋简体" w:cs="方正粗黑宋简体"/>
          <w:sz w:val="24"/>
        </w:rPr>
        <w:t>第二部分 2021年度单位决算情况说明</w:t>
      </w:r>
      <w:r>
        <w:rPr>
          <w:rFonts w:hint="eastAsia" w:ascii="方正粗黑宋简体" w:hAnsi="方正粗黑宋简体" w:eastAsia="方正粗黑宋简体" w:cs="方正粗黑宋简体"/>
          <w:sz w:val="24"/>
        </w:rPr>
        <w:tab/>
      </w:r>
      <w:r>
        <w:rPr>
          <w:rFonts w:ascii="Times New Roman" w:hAnsi="Times New Roman" w:eastAsia="宋体"/>
          <w:sz w:val="24"/>
          <w:szCs w:val="24"/>
        </w:rPr>
        <w:t>6</w:t>
      </w:r>
    </w:p>
    <w:p>
      <w:pPr>
        <w:pStyle w:val="10"/>
        <w:keepNext w:val="0"/>
        <w:keepLines w:val="0"/>
        <w:pageBreakBefore w:val="0"/>
        <w:widowControl w:val="0"/>
        <w:kinsoku/>
        <w:wordWrap/>
        <w:overflowPunct/>
        <w:topLinePunct w:val="0"/>
        <w:autoSpaceDE/>
        <w:autoSpaceDN/>
        <w:bidi w:val="0"/>
        <w:adjustRightInd w:val="0"/>
        <w:snapToGrid w:val="0"/>
        <w:spacing w:before="0" w:line="550" w:lineRule="atLeast"/>
        <w:ind w:firstLine="480" w:firstLineChars="200"/>
        <w:jc w:val="left"/>
        <w:textAlignment w:val="auto"/>
        <w:rPr>
          <w:rFonts w:ascii="Times New Roman" w:hAnsi="Times New Roman" w:eastAsia="宋体"/>
          <w:sz w:val="24"/>
          <w:szCs w:val="24"/>
        </w:rPr>
      </w:pPr>
      <w:r>
        <w:rPr>
          <w:rFonts w:hint="eastAsia" w:ascii="Times New Roman" w:hAnsi="Times New Roman" w:eastAsia="宋体"/>
          <w:sz w:val="24"/>
          <w:szCs w:val="24"/>
        </w:rPr>
        <w:t>一、收入支出决算总体情况说明</w:t>
      </w:r>
      <w:r>
        <w:rPr>
          <w:rFonts w:hint="eastAsia" w:ascii="Times New Roman" w:hAnsi="Times New Roman" w:eastAsia="宋体"/>
          <w:sz w:val="24"/>
          <w:szCs w:val="24"/>
        </w:rPr>
        <w:tab/>
      </w:r>
      <w:r>
        <w:rPr>
          <w:rFonts w:ascii="Times New Roman" w:hAnsi="Times New Roman" w:eastAsia="宋体"/>
          <w:sz w:val="24"/>
          <w:szCs w:val="24"/>
        </w:rPr>
        <w:t>6</w:t>
      </w:r>
    </w:p>
    <w:p>
      <w:pPr>
        <w:pStyle w:val="11"/>
        <w:adjustRightInd w:val="0"/>
        <w:snapToGrid w:val="0"/>
        <w:spacing w:line="550" w:lineRule="exact"/>
        <w:ind w:left="0" w:leftChars="0" w:firstLine="480" w:firstLineChars="200"/>
        <w:jc w:val="left"/>
        <w:rPr>
          <w:rFonts w:cstheme="minorBidi"/>
          <w:sz w:val="24"/>
        </w:rPr>
      </w:pPr>
      <w:r>
        <w:rPr>
          <w:rFonts w:hint="eastAsia"/>
          <w:sz w:val="24"/>
        </w:rPr>
        <w:t>二、收入决算情况说明</w:t>
      </w:r>
      <w:r>
        <w:rPr>
          <w:rFonts w:hint="eastAsia"/>
          <w:sz w:val="24"/>
        </w:rPr>
        <w:tab/>
      </w:r>
      <w:r>
        <w:rPr>
          <w:sz w:val="24"/>
        </w:rPr>
        <w:t>6</w:t>
      </w:r>
    </w:p>
    <w:p>
      <w:pPr>
        <w:pStyle w:val="11"/>
        <w:adjustRightInd w:val="0"/>
        <w:snapToGrid w:val="0"/>
        <w:spacing w:line="550" w:lineRule="exact"/>
        <w:ind w:left="0" w:leftChars="0" w:firstLine="480" w:firstLineChars="200"/>
        <w:jc w:val="left"/>
        <w:rPr>
          <w:rFonts w:cstheme="minorBidi"/>
          <w:sz w:val="24"/>
        </w:rPr>
      </w:pPr>
      <w:r>
        <w:rPr>
          <w:rFonts w:hint="eastAsia"/>
          <w:sz w:val="24"/>
        </w:rPr>
        <w:t>三、支出决算情况说明</w:t>
      </w:r>
      <w:r>
        <w:rPr>
          <w:rFonts w:hint="eastAsia"/>
          <w:sz w:val="24"/>
        </w:rPr>
        <w:tab/>
      </w:r>
      <w:r>
        <w:rPr>
          <w:sz w:val="24"/>
        </w:rPr>
        <w:t>7</w:t>
      </w:r>
    </w:p>
    <w:p>
      <w:pPr>
        <w:pStyle w:val="11"/>
        <w:adjustRightInd w:val="0"/>
        <w:snapToGrid w:val="0"/>
        <w:spacing w:line="550" w:lineRule="exact"/>
        <w:ind w:left="0" w:leftChars="0" w:firstLine="480" w:firstLineChars="200"/>
        <w:jc w:val="left"/>
        <w:rPr>
          <w:sz w:val="24"/>
        </w:rPr>
      </w:pPr>
      <w:r>
        <w:rPr>
          <w:rFonts w:hint="eastAsia"/>
          <w:sz w:val="24"/>
        </w:rPr>
        <w:t>四、财政拨款收入支出决算总体情况说明</w:t>
      </w:r>
      <w:r>
        <w:rPr>
          <w:rFonts w:hint="eastAsia"/>
          <w:sz w:val="24"/>
        </w:rPr>
        <w:tab/>
      </w:r>
      <w:r>
        <w:rPr>
          <w:sz w:val="24"/>
        </w:rPr>
        <w:t>7</w:t>
      </w:r>
    </w:p>
    <w:p>
      <w:pPr>
        <w:pStyle w:val="11"/>
        <w:adjustRightInd w:val="0"/>
        <w:snapToGrid w:val="0"/>
        <w:spacing w:line="550" w:lineRule="exact"/>
        <w:ind w:left="0" w:leftChars="0" w:firstLine="480" w:firstLineChars="200"/>
        <w:jc w:val="left"/>
        <w:rPr>
          <w:sz w:val="24"/>
        </w:rPr>
      </w:pPr>
      <w:r>
        <w:rPr>
          <w:rFonts w:hint="eastAsia"/>
          <w:sz w:val="24"/>
        </w:rPr>
        <w:t>五、一般公共预算财政拨款支出决算情况说明</w:t>
      </w:r>
      <w:r>
        <w:rPr>
          <w:rFonts w:hint="eastAsia"/>
          <w:sz w:val="24"/>
        </w:rPr>
        <w:tab/>
      </w:r>
      <w:r>
        <w:rPr>
          <w:sz w:val="24"/>
        </w:rPr>
        <w:t>8</w:t>
      </w:r>
    </w:p>
    <w:p>
      <w:pPr>
        <w:pStyle w:val="11"/>
        <w:adjustRightInd w:val="0"/>
        <w:snapToGrid w:val="0"/>
        <w:spacing w:line="550" w:lineRule="exact"/>
        <w:ind w:left="0" w:leftChars="0" w:firstLine="480" w:firstLineChars="200"/>
        <w:jc w:val="left"/>
        <w:rPr>
          <w:sz w:val="24"/>
        </w:rPr>
      </w:pPr>
      <w:r>
        <w:rPr>
          <w:rFonts w:hint="eastAsia"/>
          <w:sz w:val="24"/>
        </w:rPr>
        <w:t>六、一般公共预算财政拨款基本支出决算情况说明</w:t>
      </w:r>
      <w:r>
        <w:rPr>
          <w:rFonts w:hint="eastAsia"/>
          <w:sz w:val="24"/>
        </w:rPr>
        <w:tab/>
      </w:r>
      <w:r>
        <w:rPr>
          <w:sz w:val="24"/>
        </w:rPr>
        <w:t>10</w:t>
      </w:r>
    </w:p>
    <w:p>
      <w:pPr>
        <w:pStyle w:val="11"/>
        <w:adjustRightInd w:val="0"/>
        <w:snapToGrid w:val="0"/>
        <w:spacing w:line="550" w:lineRule="exact"/>
        <w:ind w:left="0" w:leftChars="0" w:firstLine="480" w:firstLineChars="200"/>
        <w:jc w:val="left"/>
        <w:rPr>
          <w:sz w:val="24"/>
        </w:rPr>
      </w:pPr>
      <w:r>
        <w:rPr>
          <w:rFonts w:hint="eastAsia"/>
          <w:sz w:val="24"/>
        </w:rPr>
        <w:t>七、“三公”经费财政拨款支出决算情况说明</w:t>
      </w:r>
      <w:r>
        <w:rPr>
          <w:rFonts w:hint="eastAsia"/>
          <w:sz w:val="24"/>
        </w:rPr>
        <w:tab/>
      </w:r>
      <w:r>
        <w:rPr>
          <w:sz w:val="24"/>
        </w:rPr>
        <w:t>10</w:t>
      </w:r>
    </w:p>
    <w:p>
      <w:pPr>
        <w:pStyle w:val="11"/>
        <w:adjustRightInd w:val="0"/>
        <w:snapToGrid w:val="0"/>
        <w:spacing w:line="550" w:lineRule="exact"/>
        <w:ind w:left="0" w:leftChars="0" w:firstLine="480" w:firstLineChars="200"/>
        <w:jc w:val="left"/>
        <w:rPr>
          <w:sz w:val="24"/>
        </w:rPr>
      </w:pPr>
      <w:r>
        <w:rPr>
          <w:rFonts w:hint="eastAsia"/>
          <w:sz w:val="24"/>
        </w:rPr>
        <w:t>八、政府性基金预算支出决算情况说明</w:t>
      </w:r>
      <w:r>
        <w:rPr>
          <w:rFonts w:hint="eastAsia"/>
          <w:sz w:val="24"/>
        </w:rPr>
        <w:tab/>
      </w:r>
      <w:r>
        <w:rPr>
          <w:rFonts w:hint="eastAsia"/>
          <w:sz w:val="24"/>
        </w:rPr>
        <w:t>12</w:t>
      </w:r>
    </w:p>
    <w:p>
      <w:pPr>
        <w:pStyle w:val="11"/>
        <w:adjustRightInd w:val="0"/>
        <w:snapToGrid w:val="0"/>
        <w:spacing w:line="550" w:lineRule="exact"/>
        <w:ind w:left="0" w:leftChars="0" w:firstLine="480" w:firstLineChars="200"/>
        <w:jc w:val="left"/>
        <w:rPr>
          <w:sz w:val="24"/>
        </w:rPr>
      </w:pPr>
      <w:r>
        <w:rPr>
          <w:rFonts w:hint="eastAsia"/>
          <w:sz w:val="24"/>
        </w:rPr>
        <w:t>九、国有资本经营预算支出决算情况说明</w:t>
      </w:r>
      <w:r>
        <w:rPr>
          <w:rFonts w:hint="eastAsia"/>
          <w:sz w:val="24"/>
        </w:rPr>
        <w:tab/>
      </w:r>
      <w:r>
        <w:rPr>
          <w:rFonts w:hint="eastAsia"/>
          <w:sz w:val="24"/>
        </w:rPr>
        <w:t>12</w:t>
      </w:r>
    </w:p>
    <w:p>
      <w:pPr>
        <w:pStyle w:val="11"/>
        <w:adjustRightInd w:val="0"/>
        <w:snapToGrid w:val="0"/>
        <w:spacing w:line="550" w:lineRule="exact"/>
        <w:ind w:left="0" w:leftChars="0" w:firstLine="480" w:firstLineChars="200"/>
        <w:jc w:val="left"/>
        <w:rPr>
          <w:sz w:val="24"/>
        </w:rPr>
      </w:pPr>
      <w:r>
        <w:rPr>
          <w:rFonts w:hint="eastAsia"/>
          <w:sz w:val="24"/>
        </w:rPr>
        <w:t>十、其他重要事项的情况说明</w:t>
      </w:r>
      <w:r>
        <w:rPr>
          <w:rFonts w:hint="eastAsia"/>
          <w:sz w:val="24"/>
        </w:rPr>
        <w:tab/>
      </w:r>
      <w:r>
        <w:rPr>
          <w:rFonts w:hint="eastAsia"/>
          <w:sz w:val="24"/>
        </w:rPr>
        <w:t>12</w:t>
      </w:r>
    </w:p>
    <w:p>
      <w:pPr>
        <w:pStyle w:val="10"/>
        <w:adjustRightInd w:val="0"/>
        <w:snapToGrid w:val="0"/>
        <w:spacing w:before="0" w:line="550" w:lineRule="exact"/>
        <w:jc w:val="left"/>
        <w:rPr>
          <w:rFonts w:ascii="方正粗黑宋简体" w:hAnsi="方正粗黑宋简体" w:eastAsia="宋体" w:cs="方正粗黑宋简体"/>
          <w:sz w:val="24"/>
        </w:rPr>
      </w:pPr>
      <w:r>
        <w:rPr>
          <w:rFonts w:hint="eastAsia" w:ascii="方正粗黑宋简体" w:hAnsi="方正粗黑宋简体" w:eastAsia="方正粗黑宋简体" w:cs="方正粗黑宋简体"/>
          <w:sz w:val="24"/>
        </w:rPr>
        <w:t>第三部分 名词解释</w:t>
      </w:r>
      <w:r>
        <w:rPr>
          <w:rFonts w:hint="eastAsia" w:ascii="方正粗黑宋简体" w:hAnsi="方正粗黑宋简体" w:eastAsia="方正粗黑宋简体" w:cs="方正粗黑宋简体"/>
          <w:sz w:val="24"/>
        </w:rPr>
        <w:tab/>
      </w:r>
      <w:r>
        <w:rPr>
          <w:rFonts w:hint="eastAsia" w:ascii="Times New Roman" w:hAnsi="Times New Roman" w:eastAsia="宋体"/>
          <w:sz w:val="24"/>
          <w:szCs w:val="24"/>
        </w:rPr>
        <w:t>14</w:t>
      </w:r>
    </w:p>
    <w:p>
      <w:pPr>
        <w:pStyle w:val="10"/>
        <w:adjustRightInd w:val="0"/>
        <w:snapToGrid w:val="0"/>
        <w:spacing w:before="0" w:line="550" w:lineRule="exact"/>
        <w:jc w:val="left"/>
        <w:rPr>
          <w:rFonts w:ascii="Times New Roman" w:hAnsi="Times New Roman" w:eastAsia="宋体"/>
          <w:sz w:val="24"/>
          <w:szCs w:val="24"/>
        </w:rPr>
      </w:pPr>
      <w:r>
        <w:rPr>
          <w:rFonts w:hint="eastAsia" w:ascii="方正粗黑宋简体" w:hAnsi="方正粗黑宋简体" w:eastAsia="方正粗黑宋简体" w:cs="方正粗黑宋简体"/>
          <w:sz w:val="24"/>
        </w:rPr>
        <w:t>第四部分 附件</w:t>
      </w:r>
      <w:r>
        <w:rPr>
          <w:rFonts w:hint="eastAsia" w:ascii="方正粗黑宋简体" w:hAnsi="方正粗黑宋简体" w:eastAsia="方正粗黑宋简体" w:cs="方正粗黑宋简体"/>
          <w:sz w:val="24"/>
        </w:rPr>
        <w:tab/>
      </w:r>
      <w:r>
        <w:rPr>
          <w:rFonts w:hint="eastAsia" w:ascii="Times New Roman" w:hAnsi="Times New Roman" w:eastAsia="宋体"/>
          <w:sz w:val="24"/>
          <w:szCs w:val="24"/>
        </w:rPr>
        <w:t>17</w:t>
      </w:r>
    </w:p>
    <w:p>
      <w:pPr>
        <w:pStyle w:val="10"/>
        <w:adjustRightInd w:val="0"/>
        <w:snapToGrid w:val="0"/>
        <w:spacing w:before="0" w:line="550" w:lineRule="exact"/>
        <w:jc w:val="left"/>
        <w:rPr>
          <w:rFonts w:ascii="Times New Roman" w:hAnsi="Times New Roman" w:eastAsia="宋体"/>
          <w:sz w:val="24"/>
          <w:szCs w:val="24"/>
        </w:rPr>
      </w:pPr>
      <w:r>
        <w:rPr>
          <w:rFonts w:hint="eastAsia" w:ascii="方正粗黑宋简体" w:hAnsi="方正粗黑宋简体" w:eastAsia="方正粗黑宋简体" w:cs="方正粗黑宋简体"/>
          <w:sz w:val="24"/>
        </w:rPr>
        <w:t>第五部分 附表</w:t>
      </w:r>
      <w:r>
        <w:rPr>
          <w:rFonts w:hint="eastAsia" w:ascii="方正粗黑宋简体" w:hAnsi="方正粗黑宋简体" w:eastAsia="方正粗黑宋简体" w:cs="方正粗黑宋简体"/>
          <w:sz w:val="24"/>
        </w:rPr>
        <w:tab/>
      </w:r>
      <w:r>
        <w:rPr>
          <w:rFonts w:hint="eastAsia" w:ascii="Times New Roman" w:hAnsi="Times New Roman" w:eastAsia="宋体"/>
          <w:sz w:val="24"/>
          <w:szCs w:val="24"/>
        </w:rPr>
        <w:t>19</w:t>
      </w:r>
    </w:p>
    <w:p>
      <w:pPr>
        <w:pStyle w:val="11"/>
        <w:adjustRightInd w:val="0"/>
        <w:snapToGrid w:val="0"/>
        <w:spacing w:line="550" w:lineRule="exact"/>
        <w:jc w:val="left"/>
        <w:rPr>
          <w:sz w:val="24"/>
        </w:rPr>
      </w:pPr>
      <w:r>
        <w:rPr>
          <w:rFonts w:hint="eastAsia"/>
          <w:sz w:val="24"/>
        </w:rPr>
        <w:t>一、收入支出决算总表</w:t>
      </w:r>
      <w:r>
        <w:rPr>
          <w:rFonts w:hint="eastAsia"/>
          <w:sz w:val="24"/>
        </w:rPr>
        <w:tab/>
      </w:r>
      <w:r>
        <w:rPr>
          <w:rFonts w:hint="eastAsia"/>
          <w:sz w:val="24"/>
        </w:rPr>
        <w:t>19</w:t>
      </w:r>
    </w:p>
    <w:p>
      <w:pPr>
        <w:pStyle w:val="11"/>
        <w:adjustRightInd w:val="0"/>
        <w:snapToGrid w:val="0"/>
        <w:spacing w:line="550" w:lineRule="exact"/>
        <w:jc w:val="left"/>
        <w:rPr>
          <w:sz w:val="24"/>
        </w:rPr>
      </w:pPr>
      <w:r>
        <w:rPr>
          <w:rFonts w:hint="eastAsia"/>
          <w:sz w:val="24"/>
        </w:rPr>
        <w:t>二、收入决算表</w:t>
      </w:r>
      <w:r>
        <w:rPr>
          <w:rFonts w:hint="eastAsia"/>
          <w:sz w:val="24"/>
        </w:rPr>
        <w:tab/>
      </w:r>
      <w:r>
        <w:rPr>
          <w:rFonts w:hint="eastAsia"/>
          <w:sz w:val="24"/>
        </w:rPr>
        <w:t>19</w:t>
      </w:r>
    </w:p>
    <w:p>
      <w:pPr>
        <w:pStyle w:val="11"/>
        <w:adjustRightInd w:val="0"/>
        <w:snapToGrid w:val="0"/>
        <w:spacing w:line="550" w:lineRule="exact"/>
        <w:jc w:val="left"/>
        <w:rPr>
          <w:sz w:val="24"/>
        </w:rPr>
      </w:pPr>
      <w:r>
        <w:rPr>
          <w:rFonts w:hint="eastAsia"/>
          <w:sz w:val="24"/>
        </w:rPr>
        <w:t>三、支出决算表</w:t>
      </w:r>
      <w:r>
        <w:rPr>
          <w:rFonts w:hint="eastAsia"/>
          <w:sz w:val="24"/>
        </w:rPr>
        <w:tab/>
      </w:r>
      <w:r>
        <w:rPr>
          <w:rFonts w:hint="eastAsia"/>
          <w:sz w:val="24"/>
        </w:rPr>
        <w:t>19</w:t>
      </w:r>
    </w:p>
    <w:p>
      <w:pPr>
        <w:pStyle w:val="11"/>
        <w:adjustRightInd w:val="0"/>
        <w:snapToGrid w:val="0"/>
        <w:spacing w:line="550" w:lineRule="exact"/>
        <w:jc w:val="left"/>
        <w:rPr>
          <w:sz w:val="24"/>
        </w:rPr>
        <w:sectPr>
          <w:footerReference r:id="rId6" w:type="first"/>
          <w:footerReference r:id="rId5" w:type="default"/>
          <w:pgSz w:w="11906" w:h="16838"/>
          <w:pgMar w:top="1440" w:right="1531" w:bottom="1417" w:left="1587" w:header="851" w:footer="992" w:gutter="0"/>
          <w:pgNumType w:start="1"/>
          <w:cols w:space="425" w:num="1"/>
          <w:docGrid w:type="lines" w:linePitch="312" w:charSpace="0"/>
        </w:sectPr>
      </w:pPr>
      <w:r>
        <w:rPr>
          <w:rFonts w:hint="eastAsia"/>
          <w:sz w:val="24"/>
        </w:rPr>
        <w:t>四、财政拨款收入支出决算总表</w:t>
      </w:r>
      <w:r>
        <w:rPr>
          <w:rFonts w:hint="eastAsia"/>
          <w:sz w:val="24"/>
        </w:rPr>
        <w:tab/>
      </w:r>
      <w:r>
        <w:rPr>
          <w:rFonts w:hint="eastAsia"/>
          <w:sz w:val="24"/>
        </w:rPr>
        <w:t>19</w:t>
      </w:r>
    </w:p>
    <w:p>
      <w:pPr>
        <w:pStyle w:val="11"/>
        <w:adjustRightInd w:val="0"/>
        <w:snapToGrid w:val="0"/>
        <w:spacing w:line="550" w:lineRule="exact"/>
        <w:ind w:left="0" w:leftChars="0" w:firstLine="480" w:firstLineChars="200"/>
        <w:jc w:val="left"/>
        <w:rPr>
          <w:sz w:val="24"/>
        </w:rPr>
      </w:pPr>
      <w:r>
        <w:rPr>
          <w:rFonts w:hint="eastAsia"/>
          <w:sz w:val="24"/>
        </w:rPr>
        <w:t>五、财政拨款支出决算明细表</w:t>
      </w:r>
      <w:r>
        <w:rPr>
          <w:rFonts w:hint="eastAsia"/>
          <w:sz w:val="24"/>
        </w:rPr>
        <w:tab/>
      </w:r>
      <w:r>
        <w:rPr>
          <w:rFonts w:hint="eastAsia"/>
          <w:sz w:val="24"/>
        </w:rPr>
        <w:t>19</w:t>
      </w:r>
    </w:p>
    <w:p>
      <w:pPr>
        <w:pStyle w:val="11"/>
        <w:adjustRightInd w:val="0"/>
        <w:snapToGrid w:val="0"/>
        <w:spacing w:line="550" w:lineRule="exact"/>
        <w:jc w:val="left"/>
        <w:rPr>
          <w:sz w:val="24"/>
        </w:rPr>
      </w:pPr>
      <w:r>
        <w:rPr>
          <w:rFonts w:hint="eastAsia"/>
          <w:sz w:val="24"/>
        </w:rPr>
        <w:t>六、一般公共预算财政拨款支出决算表</w:t>
      </w:r>
      <w:r>
        <w:rPr>
          <w:rFonts w:hint="eastAsia"/>
          <w:sz w:val="24"/>
        </w:rPr>
        <w:tab/>
      </w:r>
      <w:r>
        <w:rPr>
          <w:rFonts w:hint="eastAsia"/>
          <w:sz w:val="24"/>
        </w:rPr>
        <w:t>19</w:t>
      </w:r>
    </w:p>
    <w:p>
      <w:pPr>
        <w:pStyle w:val="11"/>
        <w:adjustRightInd w:val="0"/>
        <w:snapToGrid w:val="0"/>
        <w:spacing w:line="550" w:lineRule="exact"/>
        <w:jc w:val="left"/>
        <w:rPr>
          <w:sz w:val="24"/>
        </w:rPr>
      </w:pPr>
      <w:r>
        <w:rPr>
          <w:rFonts w:hint="eastAsia"/>
          <w:sz w:val="24"/>
        </w:rPr>
        <w:t>七、一般公共预算财政拨款支出决算明细表</w:t>
      </w:r>
      <w:r>
        <w:rPr>
          <w:rFonts w:hint="eastAsia"/>
          <w:sz w:val="24"/>
        </w:rPr>
        <w:tab/>
      </w:r>
      <w:r>
        <w:rPr>
          <w:rFonts w:hint="eastAsia"/>
          <w:sz w:val="24"/>
        </w:rPr>
        <w:t>19</w:t>
      </w:r>
    </w:p>
    <w:p>
      <w:pPr>
        <w:pStyle w:val="11"/>
        <w:adjustRightInd w:val="0"/>
        <w:snapToGrid w:val="0"/>
        <w:spacing w:line="550" w:lineRule="exact"/>
        <w:jc w:val="left"/>
        <w:rPr>
          <w:sz w:val="24"/>
        </w:rPr>
      </w:pPr>
      <w:r>
        <w:rPr>
          <w:rFonts w:hint="eastAsia"/>
          <w:sz w:val="24"/>
        </w:rPr>
        <w:t>八、一般公共预算财政拨款基本支出决算表</w:t>
      </w:r>
      <w:r>
        <w:rPr>
          <w:rFonts w:hint="eastAsia"/>
          <w:sz w:val="24"/>
        </w:rPr>
        <w:tab/>
      </w:r>
      <w:r>
        <w:rPr>
          <w:rFonts w:hint="eastAsia"/>
          <w:sz w:val="24"/>
        </w:rPr>
        <w:t>19</w:t>
      </w:r>
    </w:p>
    <w:p>
      <w:pPr>
        <w:pStyle w:val="11"/>
        <w:adjustRightInd w:val="0"/>
        <w:snapToGrid w:val="0"/>
        <w:spacing w:line="550" w:lineRule="exact"/>
        <w:jc w:val="left"/>
        <w:rPr>
          <w:sz w:val="24"/>
        </w:rPr>
      </w:pPr>
      <w:r>
        <w:rPr>
          <w:rFonts w:hint="eastAsia"/>
          <w:sz w:val="24"/>
        </w:rPr>
        <w:t>九、一般公共预算财政拨款项目支出决算表</w:t>
      </w:r>
      <w:r>
        <w:rPr>
          <w:rFonts w:hint="eastAsia"/>
          <w:sz w:val="24"/>
        </w:rPr>
        <w:tab/>
      </w:r>
      <w:r>
        <w:rPr>
          <w:rFonts w:hint="eastAsia"/>
          <w:sz w:val="24"/>
        </w:rPr>
        <w:t>19</w:t>
      </w:r>
    </w:p>
    <w:p>
      <w:pPr>
        <w:pStyle w:val="11"/>
        <w:adjustRightInd w:val="0"/>
        <w:snapToGrid w:val="0"/>
        <w:spacing w:line="550" w:lineRule="exact"/>
        <w:jc w:val="left"/>
        <w:rPr>
          <w:sz w:val="24"/>
        </w:rPr>
      </w:pPr>
      <w:r>
        <w:rPr>
          <w:rFonts w:hint="eastAsia"/>
          <w:sz w:val="24"/>
        </w:rPr>
        <w:t>十、一般公共预算财政拨款“三公”经费支出决算表</w:t>
      </w:r>
      <w:r>
        <w:rPr>
          <w:rFonts w:hint="eastAsia"/>
          <w:sz w:val="24"/>
        </w:rPr>
        <w:tab/>
      </w:r>
      <w:r>
        <w:rPr>
          <w:rFonts w:hint="eastAsia"/>
          <w:sz w:val="24"/>
        </w:rPr>
        <w:t>19</w:t>
      </w:r>
    </w:p>
    <w:p>
      <w:pPr>
        <w:pStyle w:val="11"/>
        <w:adjustRightInd w:val="0"/>
        <w:snapToGrid w:val="0"/>
        <w:spacing w:line="550" w:lineRule="exact"/>
        <w:jc w:val="left"/>
        <w:rPr>
          <w:sz w:val="24"/>
        </w:rPr>
      </w:pPr>
      <w:r>
        <w:rPr>
          <w:rFonts w:hint="eastAsia"/>
          <w:sz w:val="24"/>
        </w:rPr>
        <w:t>十一、政府性基金预算财政拨款收入支出决算表</w:t>
      </w:r>
      <w:r>
        <w:rPr>
          <w:rFonts w:hint="eastAsia"/>
          <w:sz w:val="24"/>
        </w:rPr>
        <w:tab/>
      </w:r>
      <w:r>
        <w:rPr>
          <w:rFonts w:hint="eastAsia"/>
          <w:sz w:val="24"/>
        </w:rPr>
        <w:t>19</w:t>
      </w:r>
    </w:p>
    <w:p>
      <w:pPr>
        <w:pStyle w:val="11"/>
        <w:adjustRightInd w:val="0"/>
        <w:snapToGrid w:val="0"/>
        <w:spacing w:line="550" w:lineRule="exact"/>
        <w:jc w:val="left"/>
        <w:rPr>
          <w:sz w:val="24"/>
        </w:rPr>
      </w:pPr>
      <w:r>
        <w:rPr>
          <w:rFonts w:hint="eastAsia"/>
          <w:sz w:val="24"/>
        </w:rPr>
        <w:t>十二、政府性基金预算财政拨款“三公”经费支出决算表</w:t>
      </w:r>
      <w:r>
        <w:rPr>
          <w:rFonts w:hint="eastAsia"/>
          <w:sz w:val="24"/>
        </w:rPr>
        <w:tab/>
      </w:r>
      <w:r>
        <w:rPr>
          <w:rFonts w:hint="eastAsia"/>
          <w:sz w:val="24"/>
        </w:rPr>
        <w:t>19</w:t>
      </w:r>
    </w:p>
    <w:p>
      <w:pPr>
        <w:pStyle w:val="11"/>
        <w:adjustRightInd w:val="0"/>
        <w:snapToGrid w:val="0"/>
        <w:spacing w:line="550" w:lineRule="exact"/>
        <w:jc w:val="left"/>
        <w:rPr>
          <w:sz w:val="24"/>
        </w:rPr>
      </w:pPr>
      <w:r>
        <w:rPr>
          <w:rFonts w:hint="eastAsia"/>
          <w:sz w:val="24"/>
        </w:rPr>
        <w:t>十三、国有资本经营预算财政拨款收入支出决算表</w:t>
      </w:r>
      <w:r>
        <w:rPr>
          <w:rFonts w:hint="eastAsia"/>
          <w:sz w:val="24"/>
        </w:rPr>
        <w:tab/>
      </w:r>
      <w:r>
        <w:rPr>
          <w:rFonts w:hint="eastAsia"/>
          <w:sz w:val="24"/>
        </w:rPr>
        <w:t>19</w:t>
      </w:r>
    </w:p>
    <w:p>
      <w:pPr>
        <w:pStyle w:val="11"/>
        <w:adjustRightInd w:val="0"/>
        <w:snapToGrid w:val="0"/>
        <w:spacing w:line="550" w:lineRule="exact"/>
        <w:jc w:val="left"/>
        <w:rPr>
          <w:sz w:val="24"/>
        </w:rPr>
      </w:pPr>
      <w:r>
        <w:rPr>
          <w:rFonts w:hint="eastAsia"/>
          <w:sz w:val="24"/>
        </w:rPr>
        <w:t>十四、国有资本经营预算财政拨款支出决算表</w:t>
      </w:r>
      <w:r>
        <w:rPr>
          <w:rFonts w:hint="eastAsia"/>
          <w:sz w:val="24"/>
        </w:rPr>
        <w:tab/>
      </w:r>
      <w:r>
        <w:rPr>
          <w:rFonts w:hint="eastAsia"/>
          <w:sz w:val="24"/>
        </w:rPr>
        <w:t>19</w:t>
      </w:r>
    </w:p>
    <w:p>
      <w:pPr>
        <w:widowControl/>
        <w:adjustRightInd w:val="0"/>
        <w:snapToGrid w:val="0"/>
        <w:spacing w:line="560" w:lineRule="exact"/>
        <w:ind w:firstLine="1320" w:firstLineChars="550"/>
        <w:jc w:val="left"/>
        <w:rPr>
          <w:rFonts w:eastAsia="仿宋"/>
          <w:sz w:val="24"/>
          <w:highlight w:val="yellow"/>
        </w:rPr>
      </w:pPr>
    </w:p>
    <w:p>
      <w:pPr>
        <w:pStyle w:val="3"/>
        <w:spacing w:before="0" w:after="0" w:line="560" w:lineRule="exact"/>
        <w:jc w:val="center"/>
        <w:rPr>
          <w:rFonts w:eastAsia="黑体"/>
          <w:b w:val="0"/>
        </w:rPr>
        <w:sectPr>
          <w:footerReference r:id="rId7" w:type="default"/>
          <w:pgSz w:w="11906" w:h="16838"/>
          <w:pgMar w:top="1440" w:right="1531" w:bottom="1417" w:left="1587" w:header="851" w:footer="992" w:gutter="0"/>
          <w:pgNumType w:start="1"/>
          <w:cols w:space="425" w:num="1"/>
          <w:docGrid w:type="lines" w:linePitch="312" w:charSpace="0"/>
        </w:sectPr>
      </w:pPr>
      <w:bookmarkStart w:id="12" w:name="_Toc15396599"/>
      <w:bookmarkStart w:id="13" w:name="_Toc15377196"/>
    </w:p>
    <w:p>
      <w:pPr>
        <w:pStyle w:val="3"/>
        <w:spacing w:before="0" w:after="0" w:line="560" w:lineRule="exact"/>
        <w:jc w:val="center"/>
        <w:rPr>
          <w:rFonts w:ascii="方正小标宋简体" w:eastAsia="方正小标宋简体" w:cs="方正小标宋_GBK"/>
          <w:b w:val="0"/>
          <w:bCs w:val="0"/>
        </w:rPr>
      </w:pPr>
      <w:r>
        <w:rPr>
          <w:rFonts w:hint="eastAsia" w:ascii="方正小标宋简体" w:eastAsia="方正小标宋简体" w:cs="方正小标宋_GBK"/>
          <w:b w:val="0"/>
          <w:bCs w:val="0"/>
        </w:rPr>
        <w:t>第一部分 单位概况</w:t>
      </w:r>
      <w:bookmarkEnd w:id="12"/>
      <w:bookmarkEnd w:id="13"/>
    </w:p>
    <w:p>
      <w:pPr>
        <w:pStyle w:val="4"/>
        <w:spacing w:before="0" w:after="0" w:line="560" w:lineRule="exact"/>
        <w:ind w:firstLine="1120" w:firstLineChars="350"/>
        <w:rPr>
          <w:rStyle w:val="26"/>
          <w:rFonts w:ascii="Times New Roman" w:hAnsi="Times New Roman" w:eastAsia="黑体"/>
          <w:b w:val="0"/>
          <w:bCs w:val="0"/>
        </w:rPr>
      </w:pPr>
      <w:bookmarkStart w:id="14" w:name="_Toc15377197"/>
      <w:bookmarkStart w:id="15" w:name="_Toc15396600"/>
    </w:p>
    <w:p>
      <w:pPr>
        <w:pStyle w:val="4"/>
        <w:spacing w:before="0" w:after="0" w:line="560" w:lineRule="exact"/>
        <w:ind w:firstLine="640" w:firstLineChars="200"/>
        <w:rPr>
          <w:rStyle w:val="26"/>
          <w:rFonts w:ascii="Times New Roman" w:hAnsi="Times New Roman" w:eastAsia="黑体"/>
          <w:b w:val="0"/>
          <w:bCs w:val="0"/>
        </w:rPr>
      </w:pPr>
      <w:r>
        <w:rPr>
          <w:rStyle w:val="26"/>
          <w:rFonts w:hint="eastAsia" w:ascii="Times New Roman" w:hAnsi="Times New Roman" w:eastAsia="黑体"/>
          <w:b w:val="0"/>
          <w:bCs w:val="0"/>
        </w:rPr>
        <w:t>一</w:t>
      </w:r>
      <w:r>
        <w:rPr>
          <w:rStyle w:val="26"/>
          <w:rFonts w:ascii="Times New Roman" w:hAnsi="Times New Roman" w:eastAsia="黑体"/>
          <w:b w:val="0"/>
          <w:bCs w:val="0"/>
        </w:rPr>
        <w:t>、</w:t>
      </w:r>
      <w:r>
        <w:rPr>
          <w:rStyle w:val="26"/>
          <w:rFonts w:hint="eastAsia" w:ascii="Times New Roman" w:hAnsi="Times New Roman" w:eastAsia="黑体"/>
          <w:b w:val="0"/>
          <w:bCs w:val="0"/>
        </w:rPr>
        <w:t xml:space="preserve"> 职能简介</w:t>
      </w:r>
    </w:p>
    <w:p>
      <w:pPr>
        <w:pStyle w:val="24"/>
        <w:spacing w:line="560" w:lineRule="exact"/>
        <w:ind w:firstLine="640"/>
        <w:rPr>
          <w:rStyle w:val="15"/>
          <w:rFonts w:eastAsia="仿宋"/>
          <w:i w:val="0"/>
          <w:sz w:val="32"/>
          <w:szCs w:val="32"/>
          <w:shd w:val="clear" w:color="auto" w:fill="FFFFFF"/>
        </w:rPr>
      </w:pPr>
      <w:r>
        <w:rPr>
          <w:rStyle w:val="15"/>
          <w:rFonts w:hint="eastAsia" w:eastAsia="仿宋"/>
          <w:i w:val="0"/>
          <w:sz w:val="32"/>
          <w:szCs w:val="32"/>
          <w:shd w:val="clear" w:color="auto" w:fill="FFFFFF"/>
        </w:rPr>
        <w:t>四川</w:t>
      </w:r>
      <w:r>
        <w:rPr>
          <w:rStyle w:val="15"/>
          <w:rFonts w:eastAsia="仿宋"/>
          <w:i w:val="0"/>
          <w:sz w:val="32"/>
          <w:szCs w:val="32"/>
          <w:shd w:val="clear" w:color="auto" w:fill="FFFFFF"/>
        </w:rPr>
        <w:t>省人民政府驻</w:t>
      </w:r>
      <w:r>
        <w:rPr>
          <w:rStyle w:val="15"/>
          <w:rFonts w:hint="eastAsia" w:eastAsia="仿宋"/>
          <w:i w:val="0"/>
          <w:sz w:val="32"/>
          <w:szCs w:val="32"/>
          <w:shd w:val="clear" w:color="auto" w:fill="FFFFFF"/>
        </w:rPr>
        <w:t>广州</w:t>
      </w:r>
      <w:r>
        <w:rPr>
          <w:rStyle w:val="15"/>
          <w:rFonts w:eastAsia="仿宋"/>
          <w:i w:val="0"/>
          <w:sz w:val="32"/>
          <w:szCs w:val="32"/>
          <w:shd w:val="clear" w:color="auto" w:fill="FFFFFF"/>
        </w:rPr>
        <w:t>办事</w:t>
      </w:r>
      <w:r>
        <w:rPr>
          <w:rStyle w:val="15"/>
          <w:rFonts w:hint="eastAsia" w:eastAsia="仿宋"/>
          <w:i w:val="0"/>
          <w:sz w:val="32"/>
          <w:szCs w:val="32"/>
          <w:shd w:val="clear" w:color="auto" w:fill="FFFFFF"/>
        </w:rPr>
        <w:t>处</w:t>
      </w:r>
      <w:r>
        <w:rPr>
          <w:rStyle w:val="15"/>
          <w:rFonts w:eastAsia="仿宋"/>
          <w:i w:val="0"/>
          <w:sz w:val="32"/>
          <w:szCs w:val="32"/>
          <w:shd w:val="clear" w:color="auto" w:fill="FFFFFF"/>
        </w:rPr>
        <w:t>受省政府委托行使职能，</w:t>
      </w:r>
      <w:r>
        <w:rPr>
          <w:rStyle w:val="15"/>
          <w:rFonts w:hint="eastAsia" w:eastAsia="仿宋"/>
          <w:i w:val="0"/>
          <w:sz w:val="32"/>
          <w:szCs w:val="32"/>
          <w:shd w:val="clear" w:color="auto" w:fill="FFFFFF"/>
        </w:rPr>
        <w:t>负责</w:t>
      </w:r>
      <w:r>
        <w:rPr>
          <w:rStyle w:val="15"/>
          <w:rFonts w:eastAsia="仿宋"/>
          <w:i w:val="0"/>
          <w:sz w:val="32"/>
          <w:szCs w:val="32"/>
          <w:shd w:val="clear" w:color="auto" w:fill="FFFFFF"/>
        </w:rPr>
        <w:t>广东、海南</w:t>
      </w:r>
      <w:r>
        <w:rPr>
          <w:rStyle w:val="15"/>
          <w:rFonts w:hint="eastAsia" w:eastAsia="仿宋"/>
          <w:i w:val="0"/>
          <w:sz w:val="32"/>
          <w:szCs w:val="32"/>
          <w:shd w:val="clear" w:color="auto" w:fill="FFFFFF"/>
        </w:rPr>
        <w:t>、广西、湖南</w:t>
      </w:r>
      <w:r>
        <w:rPr>
          <w:rStyle w:val="15"/>
          <w:rFonts w:eastAsia="仿宋"/>
          <w:i w:val="0"/>
          <w:sz w:val="32"/>
          <w:szCs w:val="32"/>
          <w:shd w:val="clear" w:color="auto" w:fill="FFFFFF"/>
        </w:rPr>
        <w:t>区域，</w:t>
      </w:r>
      <w:r>
        <w:rPr>
          <w:rStyle w:val="15"/>
          <w:rFonts w:hint="eastAsia" w:eastAsia="仿宋"/>
          <w:i w:val="0"/>
          <w:sz w:val="32"/>
          <w:szCs w:val="32"/>
          <w:shd w:val="clear" w:color="auto" w:fill="FFFFFF"/>
        </w:rPr>
        <w:t>做好省政府港澳经济事务处工作。</w:t>
      </w:r>
    </w:p>
    <w:p>
      <w:pPr>
        <w:pStyle w:val="24"/>
        <w:spacing w:line="560" w:lineRule="exact"/>
        <w:ind w:firstLine="640"/>
        <w:rPr>
          <w:rStyle w:val="15"/>
          <w:rFonts w:eastAsia="仿宋"/>
          <w:i w:val="0"/>
          <w:sz w:val="32"/>
          <w:szCs w:val="32"/>
          <w:shd w:val="clear" w:color="auto" w:fill="FFFFFF"/>
        </w:rPr>
      </w:pPr>
      <w:r>
        <w:rPr>
          <w:rFonts w:hint="eastAsia" w:ascii="楷体_GB2312" w:hAnsi="楷体_GB2312" w:eastAsia="楷体_GB2312" w:cs="楷体_GB2312"/>
          <w:bCs/>
          <w:sz w:val="32"/>
          <w:szCs w:val="32"/>
        </w:rPr>
        <w:t>（一）促进经济合作。</w:t>
      </w:r>
      <w:r>
        <w:rPr>
          <w:rStyle w:val="15"/>
          <w:rFonts w:hint="eastAsia" w:eastAsia="仿宋"/>
          <w:i w:val="0"/>
          <w:sz w:val="32"/>
          <w:szCs w:val="32"/>
          <w:shd w:val="clear" w:color="auto" w:fill="FFFFFF"/>
        </w:rPr>
        <w:t>围绕省委、省政府的工作部署和我省经济建设中心工作，组织实施充分开放合作战略，推进区域经济合作；加强与所联系区域的重点企业的联系，加强投资意向的收集、分析、对接，开展投资促进工作；配合我省投资促进重大活动，搭建专业化合作平台，为省级部门、市（州）和重点园区开展投资促进活动提供服务；</w:t>
      </w:r>
    </w:p>
    <w:p>
      <w:pPr>
        <w:spacing w:line="560" w:lineRule="exact"/>
        <w:ind w:firstLine="640" w:firstLineChars="200"/>
        <w:rPr>
          <w:rStyle w:val="15"/>
          <w:rFonts w:eastAsia="仿宋"/>
          <w:i w:val="0"/>
          <w:sz w:val="32"/>
          <w:szCs w:val="32"/>
          <w:shd w:val="clear" w:color="auto" w:fill="FFFFFF"/>
        </w:rPr>
      </w:pPr>
      <w:r>
        <w:rPr>
          <w:rFonts w:hint="eastAsia" w:ascii="楷体_GB2312" w:hAnsi="楷体_GB2312" w:eastAsia="楷体_GB2312" w:cs="楷体_GB2312"/>
          <w:bCs/>
          <w:sz w:val="32"/>
          <w:szCs w:val="32"/>
        </w:rPr>
        <w:t>（二）开展政务和信息服务。</w:t>
      </w:r>
      <w:r>
        <w:rPr>
          <w:rStyle w:val="15"/>
          <w:rFonts w:hint="eastAsia" w:eastAsia="仿宋"/>
          <w:i w:val="0"/>
          <w:sz w:val="32"/>
          <w:szCs w:val="32"/>
          <w:shd w:val="clear" w:color="auto" w:fill="FFFFFF"/>
        </w:rPr>
        <w:t>开展专题调研和信息工作，及时准确向省委、省政府及省直有关部门提供联系区域政治、经济、社会信息，为省委、省政府决策提供参考依据；负责与联系区域的党委、政府及有关部门的联系，促进区域间的相互了解和友好往来；参与我省与联系区域之间重大政务活动的组织、协调和服务工作；协助联系区域党组织对我省流动党员的管理和党建工作；指导我省驻外机构、商（协）会工作；</w:t>
      </w:r>
    </w:p>
    <w:p>
      <w:pPr>
        <w:spacing w:line="560" w:lineRule="exact"/>
        <w:ind w:firstLine="640" w:firstLineChars="200"/>
        <w:rPr>
          <w:rStyle w:val="15"/>
          <w:rFonts w:eastAsia="仿宋"/>
          <w:i w:val="0"/>
          <w:sz w:val="32"/>
          <w:szCs w:val="32"/>
          <w:shd w:val="clear" w:color="auto" w:fill="FFFFFF"/>
        </w:rPr>
      </w:pPr>
      <w:r>
        <w:rPr>
          <w:rFonts w:hint="eastAsia" w:ascii="楷体_GB2312" w:hAnsi="楷体_GB2312" w:eastAsia="楷体_GB2312" w:cs="楷体_GB2312"/>
          <w:bCs/>
          <w:sz w:val="32"/>
          <w:szCs w:val="32"/>
        </w:rPr>
        <w:t>（三）承担劳务服务工作。</w:t>
      </w:r>
      <w:r>
        <w:rPr>
          <w:rStyle w:val="15"/>
          <w:rFonts w:hint="eastAsia" w:eastAsia="仿宋"/>
          <w:i w:val="0"/>
          <w:sz w:val="32"/>
          <w:szCs w:val="32"/>
          <w:shd w:val="clear" w:color="auto" w:fill="FFFFFF"/>
        </w:rPr>
        <w:t>承担劳务调研和服务、川籍农民工管理、突发事件处置等工作；维护我省各类组织机构和人员在联系区域的合法权益，协助调解劳务纠纷；参与劳务输出和结构性劳动力回流有关工作；</w:t>
      </w:r>
    </w:p>
    <w:p>
      <w:pPr>
        <w:widowControl/>
        <w:spacing w:line="560" w:lineRule="exact"/>
        <w:ind w:firstLine="640" w:firstLineChars="200"/>
        <w:textAlignment w:val="baseline"/>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（四）承办省委、省政府和主管部门交办的其他工作。</w:t>
      </w:r>
    </w:p>
    <w:p>
      <w:pPr>
        <w:pStyle w:val="4"/>
        <w:spacing w:before="0" w:after="0" w:line="560" w:lineRule="exact"/>
        <w:ind w:firstLine="640" w:firstLineChars="200"/>
        <w:rPr>
          <w:rFonts w:ascii="Times New Roman" w:hAnsi="Times New Roman" w:eastAsia="黑体"/>
          <w:b w:val="0"/>
        </w:rPr>
      </w:pPr>
      <w:r>
        <w:rPr>
          <w:rFonts w:hint="eastAsia" w:ascii="Times New Roman" w:hAnsi="Times New Roman" w:eastAsia="黑体"/>
          <w:b w:val="0"/>
        </w:rPr>
        <w:t>二</w:t>
      </w:r>
      <w:r>
        <w:rPr>
          <w:rFonts w:ascii="Times New Roman" w:hAnsi="Times New Roman" w:eastAsia="黑体"/>
          <w:b w:val="0"/>
        </w:rPr>
        <w:t>、</w:t>
      </w:r>
      <w:r>
        <w:rPr>
          <w:rFonts w:hint="eastAsia" w:ascii="Times New Roman" w:hAnsi="Times New Roman" w:eastAsia="黑体"/>
          <w:b w:val="0"/>
        </w:rPr>
        <w:t>2021年重点工作</w:t>
      </w:r>
      <w:bookmarkEnd w:id="14"/>
      <w:bookmarkEnd w:id="15"/>
      <w:r>
        <w:rPr>
          <w:rFonts w:hint="eastAsia" w:ascii="Times New Roman" w:hAnsi="Times New Roman" w:eastAsia="黑体"/>
          <w:b w:val="0"/>
        </w:rPr>
        <w:t>完成情况</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w:t>
      </w:r>
      <w:r>
        <w:rPr>
          <w:rFonts w:ascii="仿宋_GB2312" w:hAnsi="仿宋" w:eastAsia="仿宋_GB2312"/>
          <w:sz w:val="32"/>
          <w:szCs w:val="32"/>
        </w:rPr>
        <w:t>，</w:t>
      </w:r>
      <w:r>
        <w:rPr>
          <w:rFonts w:hint="eastAsia" w:ascii="仿宋_GB2312" w:hAnsi="仿宋" w:eastAsia="仿宋_GB2312"/>
          <w:sz w:val="32"/>
          <w:szCs w:val="32"/>
        </w:rPr>
        <w:t>我</w:t>
      </w:r>
      <w:r>
        <w:rPr>
          <w:rFonts w:ascii="仿宋_GB2312" w:hAnsi="仿宋" w:eastAsia="仿宋_GB2312"/>
          <w:sz w:val="32"/>
          <w:szCs w:val="32"/>
        </w:rPr>
        <w:t>办</w:t>
      </w:r>
      <w:r>
        <w:rPr>
          <w:rFonts w:hint="eastAsia" w:ascii="仿宋_GB2312" w:hAnsi="仿宋" w:eastAsia="仿宋_GB2312"/>
          <w:sz w:val="32"/>
          <w:szCs w:val="32"/>
        </w:rPr>
        <w:t>积极落实全省经济合作系统工作会议部署，坚定以服务我省与粤港澳大湾区深化合作为主线，务实担当、主动作为，交出了“践行主责担当、招引量质齐升”的出色答卷，省委书记彭清华批示表扬“再接再厉，多做贡献”。</w:t>
      </w:r>
    </w:p>
    <w:p>
      <w:pPr>
        <w:pStyle w:val="31"/>
        <w:spacing w:line="560" w:lineRule="exact"/>
        <w:ind w:firstLine="640" w:firstLineChars="200"/>
        <w:rPr>
          <w:rFonts w:ascii="仿宋_GB2312" w:hAnsi="仿宋" w:eastAsia="仿宋_GB2312"/>
          <w:sz w:val="32"/>
          <w:szCs w:val="32"/>
        </w:rPr>
      </w:pPr>
      <w:r>
        <w:rPr>
          <w:rFonts w:hint="eastAsia" w:eastAsia="楷体" w:cs="楷体"/>
          <w:bCs/>
          <w:sz w:val="32"/>
          <w:szCs w:val="32"/>
        </w:rPr>
        <w:t>（</w:t>
      </w:r>
      <w:r>
        <w:rPr>
          <w:rFonts w:hint="eastAsia" w:ascii="楷体_GB2312" w:hAnsi="楷体_GB2312" w:eastAsia="楷体_GB2312" w:cs="楷体_GB2312"/>
          <w:bCs/>
          <w:sz w:val="32"/>
          <w:szCs w:val="32"/>
        </w:rPr>
        <w:t>一）坚持闻令而动、尽锐出战</w:t>
      </w:r>
      <w:r>
        <w:rPr>
          <w:rFonts w:hint="eastAsia" w:eastAsia="楷体" w:cs="楷体"/>
          <w:bCs/>
          <w:sz w:val="32"/>
          <w:szCs w:val="32"/>
        </w:rPr>
        <w:t>。</w:t>
      </w:r>
      <w:r>
        <w:rPr>
          <w:rFonts w:hint="eastAsia" w:ascii="仿宋_GB2312" w:hAnsi="仿宋" w:eastAsia="仿宋_GB2312"/>
          <w:sz w:val="32"/>
          <w:szCs w:val="32"/>
        </w:rPr>
        <w:t>一是平台活动有特色。服务四川产业合作（广东）投资推介会“1+2”系列活动、中外知名企业四川行活动、第18届西博会、新型显示产业链四川机遇推介会“1+3”系列活动等4场平台活动，牵头举办四川—粤港澳大湾区科技创新合作网络对接会，全年省领导会见联系区域企业家36位。二是服务市（州）有突破。分别与自贡签订投资促进战略合作协议、与资阳签署联合招商战略合作备忘录，联动市（州）组织平台活动68场次，共同在华南地区搭建产业集聚、创新集成、投资集约的联动平台。三是稳住外资有措施。积极对接华南美国商会、俄罗斯亚洲工业企业家联合会、巴西驻广州总领事馆、德国工商大会广州代表处等多家外资商（协）会。四是川货出川有实效。配合商务厅开展“川货新春大拜年”（广州站）活动，主动开拓新渠道，对接中洲农会广州帮扶馆、中品乡村振兴馆、易起购助农帮扶馆等10余家专馆，帮助我省130家企业300多种产品进入广州市消费帮扶优质产品名库。助力我省名优特产品“走出来”，与省上相关部门、市（州）联合在华南举办品鉴会、推介会，协调宜宾组团15家白酒企业参加第26届中国（广州）国际名酒展，一大批“四川造”好食品在华南地区逐步扩大市场份额、擦亮品牌。五是川企出川有创新。服务川籍国有企业在华南地区拓展市场，与住建厅广州办一起带领5家川籍建筑业企业对接中建科工集团，着力推动省属国有企业与招商引资项目有效对接。</w:t>
      </w:r>
    </w:p>
    <w:p>
      <w:pPr>
        <w:pStyle w:val="31"/>
        <w:spacing w:line="560" w:lineRule="exact"/>
        <w:ind w:firstLine="640" w:firstLineChars="200"/>
        <w:rPr>
          <w:rFonts w:ascii="仿宋_GB2312" w:hAnsi="仿宋" w:eastAsia="仿宋_GB2312"/>
          <w:sz w:val="32"/>
          <w:szCs w:val="32"/>
        </w:rPr>
      </w:pPr>
      <w:r>
        <w:rPr>
          <w:rFonts w:hint="eastAsia" w:eastAsia="楷体" w:cs="楷体"/>
          <w:bCs/>
          <w:sz w:val="32"/>
          <w:szCs w:val="32"/>
        </w:rPr>
        <w:t>（二）坚持目标导向、精准发力，招大引强量质齐升。</w:t>
      </w:r>
      <w:r>
        <w:rPr>
          <w:rFonts w:hint="eastAsia" w:ascii="仿宋_GB2312" w:hAnsi="仿宋" w:eastAsia="仿宋_GB2312"/>
          <w:sz w:val="32"/>
          <w:szCs w:val="32"/>
        </w:rPr>
        <w:t>实施产业链供应链精准招商，编制重点领域产业链全景图，开展“补充式”“填空式”招引，着力挖掘粤港澳大湾区企业在川投资潜能。一是重大项目接续落地。华南地区企业与我省签约项目超300个、协议资金逾3900亿元，其中50亿元以上重大项目21个、“三类500强”项目26个；促成外资项目12个，资金达141.02亿美元。二是“百日攻坚”成效明显。与省局珠三角制造业招商攻坚小组并肩作战，仅一个月就累计走访对接企业（商会）77家，获取意向投资信息65条、拟投资总额超1000亿元，其中拟投资30亿元以上项目8个。三是组团考察增添动力。在项目招引上既重单个项目又重链条生态，先后组团粤港澳大湾区知名企业四川行、“不忘初心</w:t>
      </w:r>
      <w:r>
        <w:rPr>
          <w:rFonts w:hint="eastAsia" w:ascii="微软雅黑" w:hAnsi="微软雅黑" w:eastAsia="微软雅黑" w:cs="微软雅黑"/>
          <w:sz w:val="32"/>
          <w:szCs w:val="32"/>
        </w:rPr>
        <w:t>•</w:t>
      </w:r>
      <w:r>
        <w:rPr>
          <w:rFonts w:hint="eastAsia" w:ascii="仿宋" w:hAnsi="仿宋" w:eastAsia="仿宋" w:cs="仿宋"/>
          <w:sz w:val="32"/>
          <w:szCs w:val="32"/>
        </w:rPr>
        <w:t>共谋发展”纪念建党</w:t>
      </w:r>
      <w:r>
        <w:rPr>
          <w:rFonts w:hint="eastAsia" w:ascii="仿宋_GB2312" w:hAnsi="仿宋" w:eastAsia="仿宋_GB2312"/>
          <w:sz w:val="32"/>
          <w:szCs w:val="32"/>
        </w:rPr>
        <w:t>100周年华南川商红色教育暨返乡投资等105批次赴川考察活动，促进粤港澳企业与各市（州）高效对接，着力扩大招商引资溢出效应。目前重点跟踪重大项目57个、拟投资额超4400亿元。</w:t>
      </w:r>
    </w:p>
    <w:p>
      <w:pPr>
        <w:pStyle w:val="31"/>
        <w:spacing w:line="560" w:lineRule="exact"/>
        <w:ind w:firstLine="640" w:firstLineChars="200"/>
        <w:rPr>
          <w:rFonts w:ascii="仿宋_GB2312" w:hAnsi="仿宋" w:eastAsia="仿宋_GB2312"/>
          <w:sz w:val="32"/>
          <w:szCs w:val="32"/>
        </w:rPr>
      </w:pPr>
      <w:r>
        <w:rPr>
          <w:rFonts w:hint="eastAsia" w:eastAsia="楷体" w:cs="楷体"/>
          <w:bCs/>
          <w:sz w:val="32"/>
          <w:szCs w:val="32"/>
        </w:rPr>
        <w:t>（三）坚持主动作为、整合资源，农民工服务深入拓展。我</w:t>
      </w:r>
      <w:r>
        <w:rPr>
          <w:rFonts w:hint="eastAsia" w:ascii="仿宋_GB2312" w:hAnsi="仿宋" w:eastAsia="仿宋_GB2312"/>
          <w:sz w:val="32"/>
          <w:szCs w:val="32"/>
        </w:rPr>
        <w:t>们认真按照制度化、常态化、精准化要求，满腔热血服务农民工，从细处着眼，从农民工最关心的事做起，着力当好川籍农民工“娘家人”，连续三年被省委省政府授予“农民工服务保障工作先进单位”。一是多措并举稳就业。深化川粤劳务协作，联动开展异地培训6000余人次。二是广泛建站聚党员。依托在粤川籍党群组织、商（协）会或爱心企业建立第三批19个农民工服务站，加强农民工流动党员队伍建设，以流动“不流学”、务工“不误学”为目标主动承担农民工党员党史学习教育职责。三是整合资源促维权。加强欠薪事件跟踪，建立重大突发应急事件处置联动机制，协助有关部门依法打击恶意欠薪行为。累计接待来电来访400余人次，协助处理聚集性群体事件15起，指导协调处理欠薪案件200余件、涉及金额5600余万元。四是内外联动引返乡。会同有关市（县）以情带人、以商引人，举办返乡创业示范培训班，配合人社厅承办农民工及企业家返乡入乡创业项目推介活动（广州站），促成签约或落地返乡发展项目33个。</w:t>
      </w:r>
    </w:p>
    <w:p>
      <w:pPr>
        <w:pStyle w:val="31"/>
        <w:spacing w:line="560" w:lineRule="exact"/>
        <w:ind w:firstLine="640" w:firstLineChars="200"/>
        <w:rPr>
          <w:rFonts w:ascii="仿宋_GB2312" w:hAnsi="仿宋" w:eastAsia="仿宋_GB2312"/>
          <w:sz w:val="32"/>
          <w:szCs w:val="32"/>
        </w:rPr>
      </w:pPr>
      <w:r>
        <w:rPr>
          <w:rFonts w:hint="eastAsia" w:eastAsia="楷体" w:cs="楷体"/>
          <w:bCs/>
          <w:sz w:val="32"/>
          <w:szCs w:val="32"/>
        </w:rPr>
        <w:t>（四）坚持发挥优势、延伸触角，靠前服务提质增效。</w:t>
      </w:r>
      <w:r>
        <w:rPr>
          <w:rFonts w:hint="eastAsia" w:ascii="仿宋_GB2312" w:hAnsi="仿宋" w:eastAsia="仿宋_GB2312"/>
          <w:sz w:val="32"/>
          <w:szCs w:val="32"/>
        </w:rPr>
        <w:t>始终鲜明服务至上导向，做实融合发展文章，以务实作风提高工作质效。一方面，信息服务在“精准”上有突破。挖掘联系区域经济社会发展典型经验、重点领域改革亮点做法等信息选题，编发《区域参阅》26期，省委办公厅《每日要情》累计得分15分，省政府研究室《领导参阅》采用137条、《政务》刊发3篇调研报告，前三季度累计得分排名列驻外办事处第一（北京办除外），实现历史突破，率先在驻外办事处中开办“川粤发布”微信公众号。另一方面，政务服务在“规范”上下功夫。规范服务流程，统一服务标准，细化岗位职责，确保严谨周到，全年接待省级领导及相关厅（局）到联系区域内调研或考察31批次。</w:t>
      </w:r>
    </w:p>
    <w:p>
      <w:pPr>
        <w:pStyle w:val="31"/>
        <w:spacing w:line="560" w:lineRule="exact"/>
        <w:ind w:firstLine="640" w:firstLineChars="200"/>
        <w:rPr>
          <w:rFonts w:hint="eastAsia" w:ascii="仿宋_GB2312" w:hAnsi="仿宋" w:eastAsia="仿宋_GB2312"/>
          <w:sz w:val="32"/>
          <w:szCs w:val="32"/>
        </w:rPr>
      </w:pPr>
      <w:r>
        <w:rPr>
          <w:rFonts w:hint="eastAsia" w:eastAsia="楷体" w:cs="楷体"/>
          <w:bCs/>
          <w:sz w:val="32"/>
          <w:szCs w:val="32"/>
        </w:rPr>
        <w:t>（五）坚持对标“两办”、干在实处，自身建设巩固提升。</w:t>
      </w:r>
      <w:r>
        <w:rPr>
          <w:rFonts w:hint="eastAsia" w:ascii="仿宋_GB2312" w:hAnsi="仿宋" w:eastAsia="仿宋_GB2312"/>
          <w:sz w:val="32"/>
          <w:szCs w:val="32"/>
        </w:rPr>
        <w:t>始终把政治建设摆在首位，下足“学”的功夫、搭建“传”的平台、做实“转”的工作，深入推进学习型领导班子建设，创新学习方式、注重研讨交流，理论学习中心组开展7次集中学习，带动干部职工学思用贯通、知信行统一，推动党史学习教育走深走实。聚力健全运行机制，强化规范意识，落实内控要求，修订完善《财务管理制度》等5项制度，省委巡视反馈问题全部整改完成。聚力锤炼队伍，以“零差错”为目标培养严实作风，采取有效途径推进干部交流，积极践行一线工作法，2篇调研报告在全省经合系统内分别荣获一等奖、二等奖。</w:t>
      </w:r>
    </w:p>
    <w:p>
      <w:pPr>
        <w:pStyle w:val="4"/>
        <w:spacing w:before="0" w:after="0" w:line="560" w:lineRule="exact"/>
        <w:ind w:firstLine="640" w:firstLineChars="200"/>
        <w:rPr>
          <w:rFonts w:hint="eastAsia" w:ascii="Times New Roman" w:hAnsi="Times New Roman" w:eastAsia="黑体"/>
          <w:b w:val="0"/>
          <w:lang w:val="en-US" w:eastAsia="zh-CN"/>
        </w:rPr>
      </w:pPr>
      <w:r>
        <w:rPr>
          <w:rFonts w:hint="eastAsia" w:ascii="Times New Roman" w:hAnsi="Times New Roman" w:eastAsia="黑体"/>
          <w:b w:val="0"/>
          <w:lang w:val="en-US" w:eastAsia="zh-CN"/>
        </w:rPr>
        <w:t>三、机构设置情况</w:t>
      </w:r>
    </w:p>
    <w:p>
      <w:pPr>
        <w:pStyle w:val="4"/>
        <w:numPr>
          <w:ilvl w:val="0"/>
          <w:numId w:val="0"/>
        </w:numPr>
        <w:spacing w:before="0" w:after="0" w:line="560" w:lineRule="exact"/>
        <w:ind w:firstLine="640" w:firstLineChars="200"/>
        <w:rPr>
          <w:rFonts w:hint="eastAsia" w:ascii="Times New Roman" w:hAnsi="Times New Roman" w:eastAsia="仿宋" w:cs="Times New Roman"/>
          <w:b w:val="0"/>
          <w:bCs w:val="0"/>
          <w:kern w:val="2"/>
          <w:sz w:val="32"/>
          <w:szCs w:val="32"/>
          <w:lang w:val="en-US" w:eastAsia="zh-CN" w:bidi="ar-SA"/>
        </w:rPr>
      </w:pPr>
      <w:r>
        <w:rPr>
          <w:rFonts w:hint="eastAsia" w:ascii="Times New Roman" w:hAnsi="Times New Roman" w:eastAsia="仿宋" w:cs="Times New Roman"/>
          <w:b w:val="0"/>
          <w:bCs w:val="0"/>
          <w:kern w:val="2"/>
          <w:sz w:val="32"/>
          <w:szCs w:val="32"/>
          <w:lang w:val="en-US" w:eastAsia="zh-CN" w:bidi="ar-SA"/>
        </w:rPr>
        <w:t>四川省人民政府驻广州办事处本级由6个内设处组成，分别是：秘书处、经济合作处、综合信息处、劳务工作处、深圳联络处、海口联络处。</w:t>
      </w:r>
    </w:p>
    <w:p>
      <w:pPr>
        <w:pStyle w:val="2"/>
        <w:rPr>
          <w:rFonts w:hint="default" w:eastAsia="仿宋"/>
          <w:lang w:val="en-US" w:eastAsia="zh-CN"/>
        </w:rPr>
      </w:pPr>
    </w:p>
    <w:p>
      <w:pPr>
        <w:pStyle w:val="31"/>
        <w:spacing w:line="560" w:lineRule="exact"/>
        <w:ind w:firstLine="640" w:firstLineChars="200"/>
        <w:rPr>
          <w:rFonts w:hint="eastAsia" w:ascii="仿宋_GB2312" w:hAnsi="仿宋" w:eastAsia="仿宋_GB2312"/>
          <w:sz w:val="32"/>
          <w:szCs w:val="32"/>
          <w:lang w:eastAsia="zh-CN"/>
        </w:rPr>
      </w:pPr>
    </w:p>
    <w:p>
      <w:pPr>
        <w:pStyle w:val="31"/>
        <w:spacing w:line="560" w:lineRule="exact"/>
        <w:ind w:firstLine="640" w:firstLineChars="200"/>
        <w:rPr>
          <w:rFonts w:hint="eastAsia" w:ascii="仿宋_GB2312" w:hAnsi="仿宋" w:eastAsia="仿宋_GB2312"/>
          <w:sz w:val="32"/>
          <w:szCs w:val="32"/>
        </w:rPr>
      </w:pPr>
    </w:p>
    <w:p>
      <w:pPr>
        <w:spacing w:line="560" w:lineRule="exact"/>
        <w:rPr>
          <w:rFonts w:eastAsia="仿宋"/>
        </w:rPr>
      </w:pPr>
    </w:p>
    <w:p>
      <w:pPr>
        <w:pStyle w:val="3"/>
        <w:spacing w:before="0" w:after="0" w:line="560" w:lineRule="exact"/>
        <w:jc w:val="center"/>
        <w:rPr>
          <w:rStyle w:val="25"/>
          <w:rFonts w:ascii="方正小标宋_GBK" w:hAnsi="方正小标宋_GBK" w:eastAsia="方正小标宋_GBK" w:cs="方正小标宋_GBK"/>
          <w:b/>
          <w:bCs/>
        </w:rPr>
      </w:pPr>
      <w:r>
        <w:rPr>
          <w:rFonts w:eastAsia="仿宋"/>
          <w:sz w:val="32"/>
          <w:szCs w:val="32"/>
        </w:rPr>
        <w:br w:type="page"/>
      </w:r>
      <w:bookmarkStart w:id="16" w:name="_Toc15396602"/>
      <w:bookmarkStart w:id="17" w:name="_Toc15377204"/>
      <w:r>
        <w:rPr>
          <w:rFonts w:hint="eastAsia" w:ascii="方正小标宋简体" w:eastAsia="方正小标宋简体" w:cs="方正小标宋_GBK"/>
          <w:b w:val="0"/>
          <w:bCs w:val="0"/>
        </w:rPr>
        <w:t>第二部分 2021年度</w:t>
      </w:r>
      <w:r>
        <w:rPr>
          <w:rFonts w:hint="eastAsia" w:ascii="方正小标宋简体" w:eastAsia="方正小标宋简体"/>
          <w:b w:val="0"/>
          <w:bCs w:val="0"/>
        </w:rPr>
        <w:t>单位决算情况说明</w:t>
      </w:r>
      <w:bookmarkEnd w:id="16"/>
      <w:bookmarkEnd w:id="17"/>
    </w:p>
    <w:p/>
    <w:p>
      <w:pPr>
        <w:pStyle w:val="24"/>
        <w:spacing w:line="560" w:lineRule="exact"/>
        <w:ind w:firstLine="640"/>
        <w:outlineLvl w:val="1"/>
        <w:rPr>
          <w:rStyle w:val="26"/>
          <w:rFonts w:ascii="Times New Roman" w:hAnsi="Times New Roman" w:eastAsia="黑体"/>
          <w:b w:val="0"/>
        </w:rPr>
      </w:pPr>
      <w:bookmarkStart w:id="18" w:name="_Toc15377205"/>
      <w:bookmarkStart w:id="19" w:name="_Toc15396603"/>
      <w:r>
        <w:rPr>
          <w:rFonts w:hint="eastAsia" w:eastAsia="黑体"/>
          <w:sz w:val="32"/>
          <w:szCs w:val="32"/>
        </w:rPr>
        <w:t>一、收</w:t>
      </w:r>
      <w:r>
        <w:rPr>
          <w:rStyle w:val="26"/>
          <w:rFonts w:hint="eastAsia" w:ascii="Times New Roman" w:hAnsi="Times New Roman" w:eastAsia="黑体"/>
          <w:b w:val="0"/>
        </w:rPr>
        <w:t>入支出决算总体情况说明</w:t>
      </w:r>
      <w:bookmarkEnd w:id="18"/>
      <w:bookmarkEnd w:id="19"/>
    </w:p>
    <w:p>
      <w:pPr>
        <w:spacing w:line="560" w:lineRule="exact"/>
        <w:ind w:firstLine="640" w:firstLineChars="200"/>
        <w:rPr>
          <w:rFonts w:eastAsia="仿宋_GB2312"/>
          <w:sz w:val="32"/>
          <w:szCs w:val="32"/>
        </w:rPr>
      </w:pPr>
      <w:r>
        <w:rPr>
          <w:rFonts w:hint="eastAsia" w:eastAsia="仿宋"/>
          <w:sz w:val="32"/>
          <w:szCs w:val="32"/>
        </w:rPr>
        <w:t>2021年度收、支总计</w:t>
      </w:r>
      <w:r>
        <w:rPr>
          <w:rFonts w:eastAsia="仿宋"/>
          <w:sz w:val="32"/>
          <w:szCs w:val="32"/>
        </w:rPr>
        <w:t>1793.67</w:t>
      </w:r>
      <w:r>
        <w:rPr>
          <w:rFonts w:hint="eastAsia" w:eastAsia="仿宋"/>
          <w:sz w:val="32"/>
          <w:szCs w:val="32"/>
        </w:rPr>
        <w:t>万元。与2020年相比，收、支总计各</w:t>
      </w:r>
      <w:r>
        <w:rPr>
          <w:rFonts w:hint="eastAsia" w:eastAsia="仿宋_GB2312"/>
          <w:sz w:val="32"/>
          <w:szCs w:val="32"/>
        </w:rPr>
        <w:t>增加171.4万元，增长10.57</w:t>
      </w:r>
      <w:r>
        <w:rPr>
          <w:rFonts w:eastAsia="仿宋_GB2312"/>
          <w:sz w:val="32"/>
          <w:szCs w:val="32"/>
        </w:rPr>
        <w:t>%</w:t>
      </w:r>
      <w:r>
        <w:rPr>
          <w:rFonts w:hint="eastAsia" w:eastAsia="仿宋_GB2312"/>
          <w:sz w:val="32"/>
          <w:szCs w:val="32"/>
        </w:rPr>
        <w:t>。主要变动原因是</w:t>
      </w:r>
      <w:r>
        <w:rPr>
          <w:rFonts w:eastAsia="仿宋_GB2312"/>
          <w:sz w:val="32"/>
          <w:szCs w:val="32"/>
        </w:rPr>
        <w:t>：</w:t>
      </w:r>
      <w:r>
        <w:rPr>
          <w:rFonts w:hint="eastAsia" w:eastAsia="仿宋_GB2312"/>
          <w:sz w:val="32"/>
          <w:szCs w:val="32"/>
        </w:rPr>
        <w:t>实行</w:t>
      </w:r>
      <w:r>
        <w:rPr>
          <w:rFonts w:eastAsia="仿宋_GB2312"/>
          <w:sz w:val="32"/>
          <w:szCs w:val="32"/>
        </w:rPr>
        <w:t>驻地津贴新政策</w:t>
      </w:r>
      <w:r>
        <w:rPr>
          <w:rFonts w:hint="eastAsia" w:eastAsia="仿宋_GB2312"/>
          <w:sz w:val="32"/>
          <w:szCs w:val="32"/>
        </w:rPr>
        <w:t>津贴追</w:t>
      </w:r>
      <w:r>
        <w:rPr>
          <w:rFonts w:eastAsia="仿宋_GB2312"/>
          <w:sz w:val="32"/>
          <w:szCs w:val="32"/>
        </w:rPr>
        <w:t>加、</w:t>
      </w:r>
      <w:r>
        <w:rPr>
          <w:rFonts w:hint="eastAsia" w:eastAsia="仿宋_GB2312"/>
          <w:sz w:val="32"/>
          <w:szCs w:val="32"/>
        </w:rPr>
        <w:t>调出</w:t>
      </w:r>
      <w:r>
        <w:rPr>
          <w:rFonts w:eastAsia="仿宋_GB2312"/>
          <w:sz w:val="32"/>
          <w:szCs w:val="32"/>
        </w:rPr>
        <w:t>职工</w:t>
      </w:r>
      <w:r>
        <w:rPr>
          <w:rFonts w:hint="eastAsia" w:eastAsia="仿宋_GB2312"/>
          <w:sz w:val="32"/>
          <w:szCs w:val="32"/>
        </w:rPr>
        <w:t>年金</w:t>
      </w:r>
      <w:r>
        <w:rPr>
          <w:rFonts w:eastAsia="仿宋_GB2312"/>
          <w:sz w:val="32"/>
          <w:szCs w:val="32"/>
        </w:rPr>
        <w:t>记</w:t>
      </w:r>
      <w:r>
        <w:rPr>
          <w:rFonts w:hint="eastAsia" w:eastAsia="仿宋_GB2312"/>
          <w:sz w:val="32"/>
          <w:szCs w:val="32"/>
        </w:rPr>
        <w:t>实、</w:t>
      </w:r>
      <w:r>
        <w:rPr>
          <w:rFonts w:eastAsia="仿宋_GB2312"/>
          <w:sz w:val="32"/>
          <w:szCs w:val="32"/>
        </w:rPr>
        <w:t>职工抚恤金</w:t>
      </w:r>
      <w:r>
        <w:rPr>
          <w:rFonts w:hint="eastAsia" w:eastAsia="仿宋_GB2312"/>
          <w:sz w:val="32"/>
          <w:szCs w:val="32"/>
        </w:rPr>
        <w:t>追加等。</w:t>
      </w:r>
      <w:r>
        <w:rPr>
          <w:rFonts w:hint="eastAsia" w:eastAsia="仿宋"/>
          <w:sz w:val="32"/>
          <w:szCs w:val="32"/>
        </w:rPr>
        <w:drawing>
          <wp:anchor distT="0" distB="0" distL="114300" distR="114300" simplePos="0" relativeHeight="251666432" behindDoc="0" locked="0" layoutInCell="1" allowOverlap="1">
            <wp:simplePos x="0" y="0"/>
            <wp:positionH relativeFrom="column">
              <wp:posOffset>302260</wp:posOffset>
            </wp:positionH>
            <wp:positionV relativeFrom="paragraph">
              <wp:posOffset>675640</wp:posOffset>
            </wp:positionV>
            <wp:extent cx="4971415" cy="2343150"/>
            <wp:effectExtent l="0" t="0" r="635" b="0"/>
            <wp:wrapTopAndBottom/>
            <wp:docPr id="2" name="图表 2"/>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560" w:lineRule="exact"/>
        <w:ind w:firstLine="640" w:firstLineChars="200"/>
        <w:rPr>
          <w:rStyle w:val="26"/>
          <w:rFonts w:ascii="Times New Roman" w:hAnsi="Times New Roman" w:eastAsia="黑体"/>
          <w:b w:val="0"/>
        </w:rPr>
      </w:pPr>
      <w:bookmarkStart w:id="20" w:name="_Toc15377206"/>
      <w:bookmarkStart w:id="21" w:name="_Toc15396604"/>
      <w:r>
        <w:rPr>
          <w:rStyle w:val="26"/>
          <w:rFonts w:hint="eastAsia" w:ascii="Times New Roman" w:hAnsi="Times New Roman" w:eastAsia="黑体"/>
          <w:b w:val="0"/>
        </w:rPr>
        <w:t>二、收入决算情况说明</w:t>
      </w:r>
      <w:bookmarkEnd w:id="20"/>
      <w:bookmarkEnd w:id="21"/>
    </w:p>
    <w:p>
      <w:pPr>
        <w:spacing w:line="560" w:lineRule="exact"/>
        <w:ind w:firstLine="640" w:firstLineChars="200"/>
        <w:outlineLvl w:val="1"/>
        <w:rPr>
          <w:rFonts w:eastAsia="仿宋"/>
          <w:sz w:val="32"/>
          <w:szCs w:val="32"/>
        </w:rPr>
      </w:pPr>
      <w:r>
        <w:rPr>
          <w:rFonts w:eastAsia="仿宋"/>
          <w:sz w:val="32"/>
          <w:szCs w:val="32"/>
        </w:rPr>
        <w:t>20</w:t>
      </w:r>
      <w:r>
        <w:rPr>
          <w:rFonts w:hint="eastAsia" w:eastAsia="仿宋"/>
          <w:sz w:val="32"/>
          <w:szCs w:val="32"/>
        </w:rPr>
        <w:t>21年本年收入合计</w:t>
      </w:r>
      <w:r>
        <w:rPr>
          <w:rFonts w:eastAsia="仿宋"/>
          <w:sz w:val="32"/>
          <w:szCs w:val="32"/>
        </w:rPr>
        <w:t>1793.67</w:t>
      </w:r>
      <w:r>
        <w:rPr>
          <w:rFonts w:hint="eastAsia" w:eastAsia="仿宋"/>
          <w:sz w:val="32"/>
          <w:szCs w:val="32"/>
        </w:rPr>
        <w:t>万元，其中：一般公共预算财政拨款收入</w:t>
      </w:r>
      <w:r>
        <w:rPr>
          <w:rFonts w:eastAsia="仿宋"/>
          <w:sz w:val="32"/>
          <w:szCs w:val="32"/>
        </w:rPr>
        <w:t>1793.67</w:t>
      </w:r>
      <w:r>
        <w:rPr>
          <w:rFonts w:hint="eastAsia" w:eastAsia="仿宋"/>
          <w:sz w:val="32"/>
          <w:szCs w:val="32"/>
        </w:rPr>
        <w:t>万元，占</w:t>
      </w:r>
      <w:r>
        <w:rPr>
          <w:rFonts w:eastAsia="仿宋"/>
          <w:sz w:val="32"/>
          <w:szCs w:val="32"/>
        </w:rPr>
        <w:t>100%</w:t>
      </w:r>
      <w:r>
        <w:rPr>
          <w:rFonts w:hint="eastAsia" w:eastAsia="仿宋"/>
          <w:sz w:val="32"/>
          <w:szCs w:val="32"/>
        </w:rPr>
        <w:t>。</w:t>
      </w:r>
    </w:p>
    <w:p>
      <w:pPr>
        <w:spacing w:line="560" w:lineRule="exact"/>
        <w:ind w:firstLine="640" w:firstLineChars="200"/>
        <w:rPr>
          <w:rFonts w:eastAsia="仿宋"/>
          <w:sz w:val="32"/>
          <w:szCs w:val="32"/>
        </w:rPr>
      </w:pPr>
      <w:r>
        <w:rPr>
          <w:rFonts w:eastAsia="仿宋"/>
          <w:sz w:val="32"/>
          <w:szCs w:val="32"/>
        </w:rPr>
        <w:drawing>
          <wp:anchor distT="0" distB="0" distL="114300" distR="114300" simplePos="0" relativeHeight="251659264" behindDoc="0" locked="0" layoutInCell="1" allowOverlap="1">
            <wp:simplePos x="0" y="0"/>
            <wp:positionH relativeFrom="column">
              <wp:posOffset>651510</wp:posOffset>
            </wp:positionH>
            <wp:positionV relativeFrom="paragraph">
              <wp:posOffset>30480</wp:posOffset>
            </wp:positionV>
            <wp:extent cx="4623435" cy="2574290"/>
            <wp:effectExtent l="0" t="0" r="5715" b="1714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560" w:lineRule="exact"/>
        <w:ind w:firstLine="640" w:firstLineChars="200"/>
        <w:rPr>
          <w:rFonts w:eastAsia="仿宋"/>
          <w:sz w:val="32"/>
          <w:szCs w:val="32"/>
        </w:rPr>
      </w:pPr>
    </w:p>
    <w:p>
      <w:pPr>
        <w:spacing w:line="560" w:lineRule="exact"/>
        <w:ind w:firstLine="640" w:firstLineChars="200"/>
        <w:rPr>
          <w:rFonts w:eastAsia="仿宋"/>
          <w:sz w:val="32"/>
          <w:szCs w:val="32"/>
        </w:rPr>
      </w:pPr>
    </w:p>
    <w:p>
      <w:pPr>
        <w:spacing w:line="560" w:lineRule="exact"/>
        <w:ind w:firstLine="640" w:firstLineChars="200"/>
        <w:rPr>
          <w:rFonts w:eastAsia="仿宋"/>
          <w:sz w:val="32"/>
          <w:szCs w:val="32"/>
        </w:rPr>
      </w:pPr>
    </w:p>
    <w:p>
      <w:pPr>
        <w:spacing w:line="560" w:lineRule="exact"/>
        <w:ind w:firstLine="640" w:firstLineChars="200"/>
        <w:rPr>
          <w:rFonts w:eastAsia="仿宋"/>
          <w:sz w:val="32"/>
          <w:szCs w:val="32"/>
        </w:rPr>
      </w:pPr>
    </w:p>
    <w:p>
      <w:pPr>
        <w:pStyle w:val="2"/>
        <w:spacing w:before="93"/>
      </w:pPr>
    </w:p>
    <w:p>
      <w:pPr>
        <w:pStyle w:val="2"/>
        <w:spacing w:before="93"/>
      </w:pPr>
    </w:p>
    <w:p>
      <w:pPr>
        <w:spacing w:line="560" w:lineRule="exact"/>
        <w:ind w:firstLine="640" w:firstLineChars="200"/>
        <w:outlineLvl w:val="1"/>
        <w:rPr>
          <w:rStyle w:val="26"/>
          <w:rFonts w:ascii="Times New Roman" w:hAnsi="Times New Roman" w:eastAsia="黑体"/>
          <w:b w:val="0"/>
        </w:rPr>
      </w:pPr>
      <w:bookmarkStart w:id="22" w:name="_Toc15396605"/>
      <w:bookmarkStart w:id="23" w:name="_Toc15377207"/>
      <w:r>
        <w:rPr>
          <w:rFonts w:hint="eastAsia" w:eastAsia="黑体"/>
          <w:sz w:val="32"/>
          <w:szCs w:val="32"/>
        </w:rPr>
        <w:t>三</w:t>
      </w:r>
      <w:r>
        <w:rPr>
          <w:rFonts w:eastAsia="黑体"/>
          <w:sz w:val="32"/>
          <w:szCs w:val="32"/>
        </w:rPr>
        <w:t>、</w:t>
      </w:r>
      <w:r>
        <w:rPr>
          <w:rFonts w:hint="eastAsia" w:eastAsia="黑体"/>
          <w:sz w:val="32"/>
          <w:szCs w:val="32"/>
        </w:rPr>
        <w:t>支</w:t>
      </w:r>
      <w:r>
        <w:rPr>
          <w:rStyle w:val="26"/>
          <w:rFonts w:hint="eastAsia" w:ascii="Times New Roman" w:hAnsi="Times New Roman" w:eastAsia="黑体"/>
          <w:b w:val="0"/>
        </w:rPr>
        <w:t>出决算情况说明</w:t>
      </w:r>
      <w:bookmarkEnd w:id="22"/>
      <w:bookmarkEnd w:id="23"/>
    </w:p>
    <w:p>
      <w:pPr>
        <w:spacing w:line="560" w:lineRule="exact"/>
        <w:ind w:firstLine="640" w:firstLineChars="200"/>
        <w:outlineLvl w:val="1"/>
        <w:rPr>
          <w:rFonts w:eastAsia="仿宋"/>
          <w:sz w:val="32"/>
          <w:szCs w:val="32"/>
        </w:rPr>
      </w:pPr>
      <w:r>
        <w:rPr>
          <w:rFonts w:eastAsia="仿宋"/>
          <w:sz w:val="32"/>
          <w:szCs w:val="32"/>
        </w:rPr>
        <w:t>20</w:t>
      </w:r>
      <w:r>
        <w:rPr>
          <w:rFonts w:hint="eastAsia" w:eastAsia="仿宋"/>
          <w:sz w:val="32"/>
          <w:szCs w:val="32"/>
        </w:rPr>
        <w:t>21年本年支出合计1787.88万元，其中：基本支出</w:t>
      </w:r>
      <w:r>
        <w:rPr>
          <w:rFonts w:eastAsia="仿宋"/>
          <w:sz w:val="32"/>
          <w:szCs w:val="32"/>
        </w:rPr>
        <w:t>1400.23</w:t>
      </w:r>
      <w:r>
        <w:rPr>
          <w:rFonts w:hint="eastAsia" w:eastAsia="仿宋"/>
          <w:sz w:val="32"/>
          <w:szCs w:val="32"/>
        </w:rPr>
        <w:t>万元，占78.</w:t>
      </w:r>
      <w:r>
        <w:rPr>
          <w:rFonts w:eastAsia="仿宋"/>
          <w:sz w:val="32"/>
          <w:szCs w:val="32"/>
        </w:rPr>
        <w:t>3</w:t>
      </w:r>
      <w:r>
        <w:rPr>
          <w:rFonts w:hint="eastAsia" w:eastAsia="仿宋"/>
          <w:sz w:val="32"/>
          <w:szCs w:val="32"/>
        </w:rPr>
        <w:t>2</w:t>
      </w:r>
      <w:r>
        <w:rPr>
          <w:rFonts w:eastAsia="仿宋"/>
          <w:sz w:val="32"/>
          <w:szCs w:val="32"/>
        </w:rPr>
        <w:t>%</w:t>
      </w:r>
      <w:r>
        <w:rPr>
          <w:rFonts w:hint="eastAsia" w:eastAsia="仿宋"/>
          <w:sz w:val="32"/>
          <w:szCs w:val="32"/>
        </w:rPr>
        <w:t>；项目支出</w:t>
      </w:r>
      <w:r>
        <w:rPr>
          <w:rFonts w:eastAsia="仿宋"/>
          <w:sz w:val="32"/>
          <w:szCs w:val="32"/>
        </w:rPr>
        <w:t>387.65</w:t>
      </w:r>
      <w:r>
        <w:rPr>
          <w:rFonts w:hint="eastAsia" w:eastAsia="仿宋"/>
          <w:sz w:val="32"/>
          <w:szCs w:val="32"/>
        </w:rPr>
        <w:t>万元，占</w:t>
      </w:r>
      <w:r>
        <w:rPr>
          <w:rFonts w:eastAsia="仿宋"/>
          <w:sz w:val="32"/>
          <w:szCs w:val="32"/>
        </w:rPr>
        <w:t>21.68%</w:t>
      </w:r>
      <w:r>
        <w:rPr>
          <w:rFonts w:hint="eastAsia" w:eastAsia="仿宋"/>
          <w:sz w:val="32"/>
          <w:szCs w:val="32"/>
        </w:rPr>
        <w:t>。</w:t>
      </w:r>
      <w:r>
        <w:rPr>
          <w:rFonts w:eastAsia="仿宋"/>
          <w:sz w:val="32"/>
          <w:szCs w:val="32"/>
        </w:rPr>
        <w:t xml:space="preserve"> </w:t>
      </w:r>
    </w:p>
    <w:p>
      <w:pPr>
        <w:spacing w:line="560" w:lineRule="exact"/>
        <w:ind w:firstLine="640" w:firstLineChars="200"/>
        <w:rPr>
          <w:rFonts w:eastAsia="仿宋"/>
          <w:sz w:val="32"/>
          <w:szCs w:val="32"/>
        </w:rPr>
      </w:pPr>
      <w:r>
        <w:rPr>
          <w:rFonts w:eastAsia="仿宋"/>
          <w:sz w:val="32"/>
          <w:szCs w:val="32"/>
        </w:rPr>
        <w:drawing>
          <wp:anchor distT="0" distB="0" distL="114300" distR="114300" simplePos="0" relativeHeight="251660288" behindDoc="0" locked="0" layoutInCell="1" allowOverlap="1">
            <wp:simplePos x="0" y="0"/>
            <wp:positionH relativeFrom="column">
              <wp:posOffset>407670</wp:posOffset>
            </wp:positionH>
            <wp:positionV relativeFrom="paragraph">
              <wp:posOffset>180340</wp:posOffset>
            </wp:positionV>
            <wp:extent cx="4681855" cy="2699385"/>
            <wp:effectExtent l="0" t="0" r="5080" b="635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560" w:lineRule="exact"/>
        <w:ind w:firstLine="640" w:firstLineChars="200"/>
        <w:rPr>
          <w:rFonts w:eastAsia="仿宋"/>
          <w:sz w:val="32"/>
          <w:szCs w:val="32"/>
        </w:rPr>
      </w:pPr>
    </w:p>
    <w:p>
      <w:pPr>
        <w:spacing w:line="560" w:lineRule="exact"/>
        <w:ind w:firstLine="640" w:firstLineChars="200"/>
        <w:rPr>
          <w:rFonts w:eastAsia="仿宋"/>
          <w:sz w:val="32"/>
          <w:szCs w:val="32"/>
        </w:rPr>
      </w:pPr>
    </w:p>
    <w:p>
      <w:pPr>
        <w:pStyle w:val="2"/>
        <w:spacing w:beforeLines="0" w:line="560" w:lineRule="exact"/>
        <w:rPr>
          <w:rFonts w:ascii="Times New Roman"/>
        </w:rPr>
      </w:pPr>
    </w:p>
    <w:p>
      <w:pPr>
        <w:pStyle w:val="2"/>
        <w:spacing w:beforeLines="0" w:line="560" w:lineRule="exact"/>
        <w:rPr>
          <w:rFonts w:ascii="Times New Roman"/>
        </w:rPr>
      </w:pPr>
    </w:p>
    <w:p>
      <w:pPr>
        <w:spacing w:line="560" w:lineRule="exact"/>
        <w:ind w:firstLine="640" w:firstLineChars="200"/>
        <w:rPr>
          <w:rFonts w:eastAsia="仿宋"/>
          <w:sz w:val="32"/>
          <w:szCs w:val="32"/>
        </w:rPr>
      </w:pPr>
    </w:p>
    <w:p>
      <w:pPr>
        <w:spacing w:line="560" w:lineRule="exact"/>
        <w:ind w:firstLine="640" w:firstLineChars="200"/>
        <w:rPr>
          <w:rFonts w:eastAsia="仿宋"/>
          <w:sz w:val="32"/>
          <w:szCs w:val="32"/>
        </w:rPr>
      </w:pPr>
    </w:p>
    <w:p>
      <w:pPr>
        <w:spacing w:line="560" w:lineRule="exact"/>
        <w:ind w:firstLine="640" w:firstLineChars="200"/>
        <w:rPr>
          <w:rFonts w:eastAsia="仿宋_GB2312"/>
          <w:sz w:val="32"/>
          <w:szCs w:val="32"/>
        </w:rPr>
      </w:pPr>
    </w:p>
    <w:p>
      <w:pPr>
        <w:spacing w:line="560" w:lineRule="exact"/>
        <w:ind w:firstLine="640" w:firstLineChars="200"/>
        <w:outlineLvl w:val="1"/>
        <w:rPr>
          <w:rFonts w:eastAsia="黑体"/>
          <w:sz w:val="32"/>
          <w:szCs w:val="32"/>
        </w:rPr>
      </w:pPr>
      <w:bookmarkStart w:id="24" w:name="_Toc15377208"/>
      <w:bookmarkStart w:id="25" w:name="_Toc15396606"/>
    </w:p>
    <w:p>
      <w:pPr>
        <w:spacing w:line="560" w:lineRule="exact"/>
        <w:ind w:firstLine="640" w:firstLineChars="200"/>
        <w:outlineLvl w:val="1"/>
        <w:rPr>
          <w:rStyle w:val="26"/>
          <w:rFonts w:ascii="Times New Roman" w:hAnsi="Times New Roman" w:eastAsia="黑体"/>
          <w:b w:val="0"/>
        </w:rPr>
      </w:pPr>
      <w:r>
        <w:rPr>
          <w:rFonts w:hint="eastAsia" w:eastAsia="黑体"/>
          <w:sz w:val="32"/>
          <w:szCs w:val="32"/>
        </w:rPr>
        <w:t>四、财</w:t>
      </w:r>
      <w:r>
        <w:rPr>
          <w:rStyle w:val="26"/>
          <w:rFonts w:hint="eastAsia" w:ascii="Times New Roman" w:hAnsi="Times New Roman" w:eastAsia="黑体"/>
          <w:b w:val="0"/>
        </w:rPr>
        <w:t>政拨款收入支出决算总体情况说明</w:t>
      </w:r>
      <w:bookmarkEnd w:id="24"/>
      <w:bookmarkEnd w:id="25"/>
    </w:p>
    <w:p>
      <w:pPr>
        <w:spacing w:line="560" w:lineRule="exact"/>
        <w:ind w:firstLine="640"/>
        <w:rPr>
          <w:rFonts w:eastAsia="仿宋"/>
          <w:sz w:val="32"/>
          <w:szCs w:val="32"/>
        </w:rPr>
      </w:pPr>
      <w:r>
        <w:rPr>
          <w:rFonts w:eastAsia="仿宋"/>
          <w:sz w:val="32"/>
          <w:szCs w:val="32"/>
        </w:rPr>
        <w:t>20</w:t>
      </w:r>
      <w:r>
        <w:rPr>
          <w:rFonts w:hint="eastAsia" w:eastAsia="仿宋"/>
          <w:sz w:val="32"/>
          <w:szCs w:val="32"/>
        </w:rPr>
        <w:t>21年财政拨款收、支总计</w:t>
      </w:r>
      <w:r>
        <w:rPr>
          <w:rFonts w:eastAsia="仿宋"/>
          <w:sz w:val="32"/>
          <w:szCs w:val="32"/>
        </w:rPr>
        <w:t>1793.67</w:t>
      </w:r>
      <w:r>
        <w:rPr>
          <w:rFonts w:hint="eastAsia" w:eastAsia="仿宋"/>
          <w:sz w:val="32"/>
          <w:szCs w:val="32"/>
        </w:rPr>
        <w:t>万元。与</w:t>
      </w:r>
      <w:r>
        <w:rPr>
          <w:rFonts w:eastAsia="仿宋"/>
          <w:sz w:val="32"/>
          <w:szCs w:val="32"/>
        </w:rPr>
        <w:t>2020</w:t>
      </w:r>
      <w:r>
        <w:rPr>
          <w:rFonts w:hint="eastAsia" w:eastAsia="仿宋"/>
          <w:sz w:val="32"/>
          <w:szCs w:val="32"/>
        </w:rPr>
        <w:t>年相比，财政拨款收、支总计各增加</w:t>
      </w:r>
      <w:r>
        <w:rPr>
          <w:rFonts w:hint="eastAsia" w:eastAsia="仿宋_GB2312"/>
          <w:sz w:val="32"/>
          <w:szCs w:val="32"/>
        </w:rPr>
        <w:t>171.4</w:t>
      </w:r>
      <w:r>
        <w:rPr>
          <w:rFonts w:hint="eastAsia" w:eastAsia="仿宋"/>
          <w:sz w:val="32"/>
          <w:szCs w:val="32"/>
        </w:rPr>
        <w:t>万元，</w:t>
      </w:r>
      <w:r>
        <w:rPr>
          <w:rFonts w:hint="eastAsia" w:eastAsia="仿宋_GB2312"/>
          <w:sz w:val="32"/>
          <w:szCs w:val="32"/>
        </w:rPr>
        <w:t>增长10.57</w:t>
      </w:r>
      <w:r>
        <w:rPr>
          <w:rFonts w:eastAsia="仿宋_GB2312"/>
          <w:sz w:val="32"/>
          <w:szCs w:val="32"/>
        </w:rPr>
        <w:t>%</w:t>
      </w:r>
      <w:r>
        <w:rPr>
          <w:rFonts w:hint="eastAsia" w:eastAsia="仿宋"/>
          <w:sz w:val="32"/>
          <w:szCs w:val="32"/>
        </w:rPr>
        <w:t>。主要变动原因是：</w:t>
      </w:r>
      <w:r>
        <w:rPr>
          <w:rFonts w:hint="eastAsia" w:eastAsia="仿宋_GB2312"/>
          <w:sz w:val="32"/>
          <w:szCs w:val="32"/>
        </w:rPr>
        <w:t>实行</w:t>
      </w:r>
      <w:r>
        <w:rPr>
          <w:rFonts w:eastAsia="仿宋_GB2312"/>
          <w:sz w:val="32"/>
          <w:szCs w:val="32"/>
        </w:rPr>
        <w:t>驻地津贴新政策</w:t>
      </w:r>
      <w:r>
        <w:rPr>
          <w:rFonts w:hint="eastAsia" w:eastAsia="仿宋_GB2312"/>
          <w:sz w:val="32"/>
          <w:szCs w:val="32"/>
        </w:rPr>
        <w:t>津贴追</w:t>
      </w:r>
      <w:r>
        <w:rPr>
          <w:rFonts w:eastAsia="仿宋_GB2312"/>
          <w:sz w:val="32"/>
          <w:szCs w:val="32"/>
        </w:rPr>
        <w:t>加、</w:t>
      </w:r>
      <w:r>
        <w:rPr>
          <w:rFonts w:hint="eastAsia" w:eastAsia="仿宋_GB2312"/>
          <w:sz w:val="32"/>
          <w:szCs w:val="32"/>
        </w:rPr>
        <w:t>调出</w:t>
      </w:r>
      <w:r>
        <w:rPr>
          <w:rFonts w:eastAsia="仿宋_GB2312"/>
          <w:sz w:val="32"/>
          <w:szCs w:val="32"/>
        </w:rPr>
        <w:t>职工</w:t>
      </w:r>
      <w:r>
        <w:rPr>
          <w:rFonts w:hint="eastAsia" w:eastAsia="仿宋_GB2312"/>
          <w:sz w:val="32"/>
          <w:szCs w:val="32"/>
        </w:rPr>
        <w:t>年金</w:t>
      </w:r>
      <w:r>
        <w:rPr>
          <w:rFonts w:eastAsia="仿宋_GB2312"/>
          <w:sz w:val="32"/>
          <w:szCs w:val="32"/>
        </w:rPr>
        <w:t>记</w:t>
      </w:r>
      <w:r>
        <w:rPr>
          <w:rFonts w:hint="eastAsia" w:eastAsia="仿宋_GB2312"/>
          <w:sz w:val="32"/>
          <w:szCs w:val="32"/>
        </w:rPr>
        <w:t>实、</w:t>
      </w:r>
      <w:r>
        <w:rPr>
          <w:rFonts w:eastAsia="仿宋_GB2312"/>
          <w:sz w:val="32"/>
          <w:szCs w:val="32"/>
        </w:rPr>
        <w:t>职工抚恤金</w:t>
      </w:r>
      <w:r>
        <w:rPr>
          <w:rFonts w:hint="eastAsia" w:eastAsia="仿宋_GB2312"/>
          <w:sz w:val="32"/>
          <w:szCs w:val="32"/>
        </w:rPr>
        <w:t>追加等</w:t>
      </w:r>
      <w:r>
        <w:rPr>
          <w:rFonts w:eastAsia="仿宋"/>
          <w:sz w:val="32"/>
          <w:szCs w:val="32"/>
        </w:rPr>
        <w:t>。</w:t>
      </w:r>
    </w:p>
    <w:p>
      <w:pPr>
        <w:spacing w:line="560" w:lineRule="exact"/>
        <w:ind w:firstLine="640" w:firstLineChars="200"/>
        <w:rPr>
          <w:rFonts w:eastAsia="仿宋"/>
          <w:sz w:val="32"/>
          <w:szCs w:val="32"/>
        </w:rPr>
      </w:pPr>
      <w:r>
        <w:rPr>
          <w:rFonts w:eastAsia="仿宋"/>
          <w:sz w:val="32"/>
          <w:szCs w:val="32"/>
        </w:rPr>
        <w:drawing>
          <wp:anchor distT="0" distB="0" distL="114300" distR="114300" simplePos="0" relativeHeight="251662336" behindDoc="0" locked="0" layoutInCell="1" allowOverlap="1">
            <wp:simplePos x="0" y="0"/>
            <wp:positionH relativeFrom="column">
              <wp:posOffset>383540</wp:posOffset>
            </wp:positionH>
            <wp:positionV relativeFrom="paragraph">
              <wp:posOffset>76835</wp:posOffset>
            </wp:positionV>
            <wp:extent cx="5091430" cy="2615565"/>
            <wp:effectExtent l="0" t="0" r="13970" b="1333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560" w:lineRule="exact"/>
        <w:ind w:firstLine="640" w:firstLineChars="200"/>
        <w:rPr>
          <w:rFonts w:eastAsia="仿宋"/>
          <w:sz w:val="32"/>
          <w:szCs w:val="32"/>
        </w:rPr>
      </w:pPr>
    </w:p>
    <w:p>
      <w:pPr>
        <w:spacing w:line="560" w:lineRule="exact"/>
        <w:ind w:firstLine="640" w:firstLineChars="200"/>
        <w:rPr>
          <w:rFonts w:eastAsia="仿宋"/>
          <w:sz w:val="32"/>
          <w:szCs w:val="32"/>
        </w:rPr>
      </w:pPr>
    </w:p>
    <w:p>
      <w:pPr>
        <w:spacing w:line="560" w:lineRule="exact"/>
        <w:ind w:firstLine="640" w:firstLineChars="200"/>
        <w:rPr>
          <w:rFonts w:eastAsia="仿宋"/>
          <w:sz w:val="32"/>
          <w:szCs w:val="32"/>
        </w:rPr>
      </w:pPr>
    </w:p>
    <w:p>
      <w:pPr>
        <w:spacing w:line="560" w:lineRule="exact"/>
        <w:ind w:firstLine="640" w:firstLineChars="200"/>
        <w:rPr>
          <w:rFonts w:eastAsia="仿宋"/>
          <w:sz w:val="32"/>
          <w:szCs w:val="32"/>
        </w:rPr>
      </w:pPr>
    </w:p>
    <w:p>
      <w:pPr>
        <w:spacing w:line="560" w:lineRule="exact"/>
        <w:ind w:firstLine="640" w:firstLineChars="200"/>
        <w:outlineLvl w:val="1"/>
        <w:rPr>
          <w:rFonts w:eastAsia="仿宋"/>
          <w:b/>
          <w:sz w:val="32"/>
          <w:szCs w:val="32"/>
        </w:rPr>
      </w:pPr>
      <w:bookmarkStart w:id="26" w:name="_Toc15396607"/>
      <w:bookmarkStart w:id="27" w:name="_Toc15377209"/>
      <w:r>
        <w:rPr>
          <w:rFonts w:hint="eastAsia" w:eastAsia="黑体"/>
          <w:sz w:val="32"/>
          <w:szCs w:val="32"/>
        </w:rPr>
        <w:t>五、</w:t>
      </w:r>
      <w:r>
        <w:rPr>
          <w:rFonts w:hint="eastAsia" w:eastAsia="黑体"/>
          <w:b/>
          <w:sz w:val="32"/>
          <w:szCs w:val="32"/>
        </w:rPr>
        <w:t>一</w:t>
      </w:r>
      <w:r>
        <w:rPr>
          <w:rStyle w:val="26"/>
          <w:rFonts w:hint="eastAsia" w:ascii="Times New Roman" w:hAnsi="Times New Roman" w:eastAsia="黑体"/>
          <w:b w:val="0"/>
        </w:rPr>
        <w:t>般公共预算财政拨款支出决算情况说明</w:t>
      </w:r>
      <w:bookmarkEnd w:id="26"/>
      <w:bookmarkEnd w:id="27"/>
      <w:bookmarkStart w:id="28" w:name="_Toc15377210"/>
    </w:p>
    <w:p>
      <w:pPr>
        <w:spacing w:line="560" w:lineRule="exact"/>
        <w:ind w:firstLine="640" w:firstLineChars="200"/>
        <w:outlineLvl w:val="2"/>
        <w:rPr>
          <w:rFonts w:eastAsia="楷体_GB2312" w:cs="楷体_GB2312"/>
          <w:bCs/>
          <w:sz w:val="32"/>
          <w:szCs w:val="32"/>
        </w:rPr>
      </w:pPr>
      <w:r>
        <w:rPr>
          <w:rFonts w:hint="eastAsia" w:eastAsia="楷体_GB2312" w:cs="楷体_GB2312"/>
          <w:bCs/>
          <w:sz w:val="32"/>
          <w:szCs w:val="32"/>
        </w:rPr>
        <w:t>（一）一般公共预算财政拨款支出决算总体情况</w:t>
      </w:r>
      <w:bookmarkEnd w:id="28"/>
    </w:p>
    <w:p>
      <w:pPr>
        <w:spacing w:line="560" w:lineRule="exact"/>
        <w:ind w:firstLine="640" w:firstLineChars="200"/>
        <w:outlineLvl w:val="1"/>
        <w:rPr>
          <w:rFonts w:eastAsia="仿宋"/>
          <w:b/>
          <w:sz w:val="32"/>
          <w:szCs w:val="32"/>
        </w:rPr>
      </w:pPr>
      <w:r>
        <w:rPr>
          <w:rFonts w:hint="eastAsia" w:eastAsia="黑体"/>
          <w:sz w:val="32"/>
          <w:szCs w:val="32"/>
        </w:rPr>
        <w:t>五、</w:t>
      </w:r>
      <w:r>
        <w:rPr>
          <w:rFonts w:hint="eastAsia" w:eastAsia="黑体"/>
          <w:b/>
          <w:sz w:val="32"/>
          <w:szCs w:val="32"/>
        </w:rPr>
        <w:t>一</w:t>
      </w:r>
      <w:r>
        <w:rPr>
          <w:rStyle w:val="26"/>
          <w:rFonts w:hint="eastAsia" w:ascii="Times New Roman" w:hAnsi="Times New Roman" w:eastAsia="黑体"/>
          <w:b w:val="0"/>
        </w:rPr>
        <w:t>般公共预算财政拨款支出决算情况说明</w:t>
      </w:r>
    </w:p>
    <w:p>
      <w:pPr>
        <w:spacing w:line="560" w:lineRule="exact"/>
        <w:ind w:firstLine="640" w:firstLineChars="200"/>
        <w:outlineLvl w:val="2"/>
        <w:rPr>
          <w:rFonts w:eastAsia="楷体_GB2312" w:cs="楷体_GB2312"/>
          <w:bCs/>
          <w:sz w:val="32"/>
          <w:szCs w:val="32"/>
        </w:rPr>
      </w:pPr>
      <w:r>
        <w:rPr>
          <w:rFonts w:hint="eastAsia" w:eastAsia="楷体_GB2312" w:cs="楷体_GB2312"/>
          <w:bCs/>
          <w:sz w:val="32"/>
          <w:szCs w:val="32"/>
        </w:rPr>
        <w:t>（一）一般公共预算财政拨款支出决算总体情况</w:t>
      </w:r>
    </w:p>
    <w:p>
      <w:pPr>
        <w:spacing w:line="560" w:lineRule="exact"/>
        <w:ind w:firstLine="640" w:firstLineChars="200"/>
        <w:rPr>
          <w:rFonts w:eastAsia="仿宋"/>
          <w:sz w:val="32"/>
          <w:szCs w:val="32"/>
        </w:rPr>
      </w:pPr>
      <w:r>
        <w:rPr>
          <w:rFonts w:eastAsia="仿宋"/>
          <w:sz w:val="32"/>
          <w:szCs w:val="32"/>
        </w:rPr>
        <w:t>20</w:t>
      </w:r>
      <w:r>
        <w:rPr>
          <w:rFonts w:hint="eastAsia" w:eastAsia="仿宋"/>
          <w:sz w:val="32"/>
          <w:szCs w:val="32"/>
        </w:rPr>
        <w:t>21年一般公共预算财政拨款支出1787.88万元，占本年支出合计的</w:t>
      </w:r>
      <w:r>
        <w:rPr>
          <w:rFonts w:eastAsia="仿宋"/>
          <w:sz w:val="32"/>
          <w:szCs w:val="32"/>
        </w:rPr>
        <w:t>100%</w:t>
      </w:r>
      <w:r>
        <w:rPr>
          <w:rFonts w:hint="eastAsia" w:eastAsia="仿宋"/>
          <w:sz w:val="32"/>
          <w:szCs w:val="32"/>
        </w:rPr>
        <w:t>。与</w:t>
      </w:r>
      <w:r>
        <w:rPr>
          <w:rFonts w:eastAsia="仿宋"/>
          <w:sz w:val="32"/>
          <w:szCs w:val="32"/>
        </w:rPr>
        <w:t>2020</w:t>
      </w:r>
      <w:r>
        <w:rPr>
          <w:rFonts w:hint="eastAsia" w:eastAsia="仿宋"/>
          <w:sz w:val="32"/>
          <w:szCs w:val="32"/>
        </w:rPr>
        <w:t>年相比，一般公共预算财政拨款支出增加</w:t>
      </w:r>
      <w:r>
        <w:rPr>
          <w:rFonts w:eastAsia="仿宋"/>
          <w:sz w:val="32"/>
          <w:szCs w:val="32"/>
        </w:rPr>
        <w:t>314.17</w:t>
      </w:r>
      <w:r>
        <w:rPr>
          <w:rFonts w:hint="eastAsia" w:eastAsia="仿宋"/>
          <w:sz w:val="32"/>
          <w:szCs w:val="32"/>
        </w:rPr>
        <w:t>万元，增长</w:t>
      </w:r>
      <w:r>
        <w:rPr>
          <w:rFonts w:eastAsia="仿宋"/>
          <w:sz w:val="32"/>
          <w:szCs w:val="32"/>
        </w:rPr>
        <w:t>21.32%</w:t>
      </w:r>
      <w:r>
        <w:rPr>
          <w:rFonts w:hint="eastAsia" w:eastAsia="仿宋"/>
          <w:sz w:val="32"/>
          <w:szCs w:val="32"/>
        </w:rPr>
        <w:t>。主要变动原因是：</w:t>
      </w:r>
      <w:r>
        <w:rPr>
          <w:rFonts w:hint="eastAsia" w:eastAsia="仿宋_GB2312"/>
          <w:sz w:val="32"/>
          <w:szCs w:val="32"/>
        </w:rPr>
        <w:t>实行</w:t>
      </w:r>
      <w:r>
        <w:rPr>
          <w:rFonts w:eastAsia="仿宋_GB2312"/>
          <w:sz w:val="32"/>
          <w:szCs w:val="32"/>
        </w:rPr>
        <w:t>驻地津贴新政策</w:t>
      </w:r>
      <w:r>
        <w:rPr>
          <w:rFonts w:hint="eastAsia" w:eastAsia="仿宋_GB2312"/>
          <w:sz w:val="32"/>
          <w:szCs w:val="32"/>
        </w:rPr>
        <w:t>津贴追</w:t>
      </w:r>
      <w:r>
        <w:rPr>
          <w:rFonts w:eastAsia="仿宋_GB2312"/>
          <w:sz w:val="32"/>
          <w:szCs w:val="32"/>
        </w:rPr>
        <w:t>加、</w:t>
      </w:r>
      <w:r>
        <w:rPr>
          <w:rFonts w:hint="eastAsia" w:eastAsia="仿宋_GB2312"/>
          <w:sz w:val="32"/>
          <w:szCs w:val="32"/>
        </w:rPr>
        <w:t>调出</w:t>
      </w:r>
      <w:r>
        <w:rPr>
          <w:rFonts w:eastAsia="仿宋_GB2312"/>
          <w:sz w:val="32"/>
          <w:szCs w:val="32"/>
        </w:rPr>
        <w:t>职工</w:t>
      </w:r>
      <w:r>
        <w:rPr>
          <w:rFonts w:hint="eastAsia" w:eastAsia="仿宋_GB2312"/>
          <w:sz w:val="32"/>
          <w:szCs w:val="32"/>
        </w:rPr>
        <w:t>年金</w:t>
      </w:r>
      <w:r>
        <w:rPr>
          <w:rFonts w:eastAsia="仿宋_GB2312"/>
          <w:sz w:val="32"/>
          <w:szCs w:val="32"/>
        </w:rPr>
        <w:t>记</w:t>
      </w:r>
      <w:r>
        <w:rPr>
          <w:rFonts w:hint="eastAsia" w:eastAsia="仿宋_GB2312"/>
          <w:sz w:val="32"/>
          <w:szCs w:val="32"/>
        </w:rPr>
        <w:t>实、</w:t>
      </w:r>
      <w:r>
        <w:rPr>
          <w:rFonts w:eastAsia="仿宋_GB2312"/>
          <w:sz w:val="32"/>
          <w:szCs w:val="32"/>
        </w:rPr>
        <w:t>职工抚恤金</w:t>
      </w:r>
      <w:r>
        <w:rPr>
          <w:rFonts w:hint="eastAsia" w:eastAsia="仿宋_GB2312"/>
          <w:sz w:val="32"/>
          <w:szCs w:val="32"/>
        </w:rPr>
        <w:t>追加等</w:t>
      </w:r>
      <w:r>
        <w:rPr>
          <w:rFonts w:eastAsia="仿宋"/>
          <w:sz w:val="32"/>
          <w:szCs w:val="32"/>
        </w:rPr>
        <w:t>。</w:t>
      </w:r>
    </w:p>
    <w:p>
      <w:pPr>
        <w:spacing w:line="560" w:lineRule="exact"/>
        <w:ind w:firstLine="640" w:firstLineChars="200"/>
        <w:rPr>
          <w:rFonts w:eastAsia="仿宋"/>
          <w:sz w:val="32"/>
          <w:szCs w:val="32"/>
        </w:rPr>
      </w:pPr>
      <w:r>
        <w:rPr>
          <w:rFonts w:eastAsia="仿宋"/>
          <w:sz w:val="32"/>
          <w:szCs w:val="32"/>
        </w:rPr>
        <w:drawing>
          <wp:anchor distT="0" distB="0" distL="114300" distR="114300" simplePos="0" relativeHeight="251663360" behindDoc="0" locked="0" layoutInCell="1" allowOverlap="1">
            <wp:simplePos x="0" y="0"/>
            <wp:positionH relativeFrom="column">
              <wp:posOffset>812800</wp:posOffset>
            </wp:positionH>
            <wp:positionV relativeFrom="paragraph">
              <wp:posOffset>36830</wp:posOffset>
            </wp:positionV>
            <wp:extent cx="4016375" cy="2347595"/>
            <wp:effectExtent l="0" t="0" r="3175" b="1460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spacing w:line="560" w:lineRule="exact"/>
        <w:ind w:firstLine="640" w:firstLineChars="200"/>
        <w:rPr>
          <w:rFonts w:eastAsia="仿宋"/>
          <w:sz w:val="32"/>
          <w:szCs w:val="32"/>
        </w:rPr>
      </w:pPr>
    </w:p>
    <w:p>
      <w:pPr>
        <w:pStyle w:val="2"/>
        <w:spacing w:beforeLines="0" w:line="560" w:lineRule="exact"/>
        <w:rPr>
          <w:rFonts w:ascii="Times New Roman"/>
        </w:rPr>
      </w:pPr>
    </w:p>
    <w:p>
      <w:pPr>
        <w:pStyle w:val="2"/>
        <w:spacing w:beforeLines="0" w:line="560" w:lineRule="exact"/>
        <w:rPr>
          <w:rFonts w:ascii="Times New Roman"/>
        </w:rPr>
      </w:pPr>
    </w:p>
    <w:p>
      <w:pPr>
        <w:pStyle w:val="2"/>
        <w:spacing w:beforeLines="0" w:line="560" w:lineRule="exact"/>
        <w:rPr>
          <w:rFonts w:ascii="Times New Roman"/>
        </w:rPr>
      </w:pPr>
    </w:p>
    <w:p>
      <w:pPr>
        <w:pStyle w:val="2"/>
        <w:spacing w:beforeLines="0" w:line="560" w:lineRule="exact"/>
        <w:rPr>
          <w:rFonts w:ascii="Times New Roman"/>
        </w:rPr>
      </w:pPr>
    </w:p>
    <w:p>
      <w:pPr>
        <w:spacing w:line="560" w:lineRule="exact"/>
        <w:outlineLvl w:val="2"/>
        <w:rPr>
          <w:rFonts w:eastAsia="仿宋"/>
          <w:b/>
          <w:sz w:val="32"/>
          <w:szCs w:val="32"/>
        </w:rPr>
      </w:pPr>
      <w:bookmarkStart w:id="29" w:name="_Toc15377211"/>
    </w:p>
    <w:p>
      <w:pPr>
        <w:spacing w:line="560" w:lineRule="exact"/>
        <w:ind w:firstLine="642" w:firstLineChars="200"/>
        <w:outlineLvl w:val="2"/>
        <w:rPr>
          <w:rFonts w:eastAsia="仿宋"/>
          <w:sz w:val="32"/>
          <w:szCs w:val="32"/>
        </w:rPr>
      </w:pPr>
      <w:r>
        <w:rPr>
          <w:rFonts w:hint="eastAsia" w:eastAsia="仿宋"/>
          <w:b/>
          <w:sz w:val="32"/>
          <w:szCs w:val="32"/>
        </w:rPr>
        <w:t>（二）一般公共预算财政拨款支出决算结构情况</w:t>
      </w:r>
      <w:bookmarkEnd w:id="29"/>
    </w:p>
    <w:p>
      <w:pPr>
        <w:spacing w:line="560" w:lineRule="exact"/>
        <w:ind w:firstLine="640"/>
        <w:rPr>
          <w:rFonts w:eastAsia="仿宋"/>
          <w:b/>
          <w:bCs/>
          <w:sz w:val="32"/>
          <w:szCs w:val="32"/>
        </w:rPr>
      </w:pPr>
      <w:r>
        <w:rPr>
          <w:rFonts w:eastAsia="仿宋"/>
          <w:sz w:val="32"/>
          <w:szCs w:val="32"/>
        </w:rPr>
        <w:t>20</w:t>
      </w:r>
      <w:r>
        <w:rPr>
          <w:rFonts w:hint="eastAsia" w:eastAsia="仿宋"/>
          <w:sz w:val="32"/>
          <w:szCs w:val="32"/>
        </w:rPr>
        <w:t>21年一般公共预算财政拨款支出</w:t>
      </w:r>
      <w:r>
        <w:rPr>
          <w:rFonts w:eastAsia="仿宋"/>
          <w:sz w:val="32"/>
          <w:szCs w:val="32"/>
        </w:rPr>
        <w:t>1787.88</w:t>
      </w:r>
      <w:r>
        <w:rPr>
          <w:rFonts w:hint="eastAsia" w:eastAsia="仿宋"/>
          <w:sz w:val="32"/>
          <w:szCs w:val="32"/>
        </w:rPr>
        <w:t>万元，主要用于以下方面</w:t>
      </w:r>
      <w:r>
        <w:rPr>
          <w:rFonts w:eastAsia="仿宋"/>
          <w:sz w:val="32"/>
          <w:szCs w:val="32"/>
        </w:rPr>
        <w:t>:</w:t>
      </w:r>
      <w:r>
        <w:rPr>
          <w:rFonts w:hint="eastAsia" w:eastAsia="仿宋"/>
          <w:sz w:val="32"/>
          <w:szCs w:val="32"/>
        </w:rPr>
        <w:t>一般公共服务支出</w:t>
      </w:r>
      <w:r>
        <w:rPr>
          <w:rFonts w:eastAsia="仿宋"/>
          <w:sz w:val="32"/>
          <w:szCs w:val="32"/>
        </w:rPr>
        <w:t>1408.65</w:t>
      </w:r>
      <w:r>
        <w:rPr>
          <w:rFonts w:hint="eastAsia" w:eastAsia="仿宋"/>
          <w:sz w:val="32"/>
          <w:szCs w:val="32"/>
        </w:rPr>
        <w:t>万元，占78.79</w:t>
      </w:r>
      <w:r>
        <w:rPr>
          <w:rFonts w:eastAsia="仿宋"/>
          <w:sz w:val="32"/>
          <w:szCs w:val="32"/>
        </w:rPr>
        <w:t>%</w:t>
      </w:r>
      <w:r>
        <w:rPr>
          <w:rFonts w:hint="eastAsia" w:eastAsia="仿宋"/>
          <w:sz w:val="32"/>
          <w:szCs w:val="32"/>
        </w:rPr>
        <w:t>；社会保障和就业支出263.3万元，占14.73</w:t>
      </w:r>
      <w:r>
        <w:rPr>
          <w:rFonts w:eastAsia="仿宋"/>
          <w:sz w:val="32"/>
          <w:szCs w:val="32"/>
        </w:rPr>
        <w:t>%</w:t>
      </w:r>
      <w:r>
        <w:rPr>
          <w:rFonts w:hint="eastAsia" w:eastAsia="仿宋"/>
          <w:sz w:val="32"/>
          <w:szCs w:val="32"/>
        </w:rPr>
        <w:t>；卫生健康支出52.87万元，占2.95</w:t>
      </w:r>
      <w:r>
        <w:rPr>
          <w:rFonts w:eastAsia="仿宋"/>
          <w:sz w:val="32"/>
          <w:szCs w:val="32"/>
        </w:rPr>
        <w:t>%</w:t>
      </w:r>
      <w:r>
        <w:rPr>
          <w:rFonts w:hint="eastAsia" w:eastAsia="仿宋"/>
          <w:sz w:val="32"/>
          <w:szCs w:val="32"/>
        </w:rPr>
        <w:t>；住房保障支出63.06万元，占3.53</w:t>
      </w:r>
      <w:r>
        <w:rPr>
          <w:rFonts w:eastAsia="仿宋"/>
          <w:sz w:val="32"/>
          <w:szCs w:val="32"/>
        </w:rPr>
        <w:t>%</w:t>
      </w:r>
      <w:r>
        <w:rPr>
          <w:rFonts w:hint="eastAsia" w:eastAsia="仿宋"/>
          <w:sz w:val="32"/>
          <w:szCs w:val="32"/>
        </w:rPr>
        <w:t>。</w:t>
      </w:r>
    </w:p>
    <w:p>
      <w:pPr>
        <w:pStyle w:val="2"/>
        <w:spacing w:beforeLines="0" w:line="560" w:lineRule="exact"/>
        <w:rPr>
          <w:rFonts w:ascii="Times New Roman"/>
        </w:rPr>
      </w:pPr>
      <w:r>
        <w:rPr>
          <w:rFonts w:eastAsia="仿宋"/>
          <w:sz w:val="32"/>
          <w:szCs w:val="32"/>
        </w:rPr>
        <w:drawing>
          <wp:anchor distT="0" distB="0" distL="114300" distR="114300" simplePos="0" relativeHeight="251665408" behindDoc="0" locked="0" layoutInCell="1" allowOverlap="1">
            <wp:simplePos x="0" y="0"/>
            <wp:positionH relativeFrom="column">
              <wp:posOffset>443230</wp:posOffset>
            </wp:positionH>
            <wp:positionV relativeFrom="paragraph">
              <wp:posOffset>39370</wp:posOffset>
            </wp:positionV>
            <wp:extent cx="4929505" cy="2425065"/>
            <wp:effectExtent l="0" t="0" r="4445" b="13970"/>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pStyle w:val="2"/>
        <w:spacing w:beforeLines="0" w:line="560" w:lineRule="exact"/>
        <w:rPr>
          <w:rFonts w:ascii="Times New Roman"/>
        </w:rPr>
      </w:pPr>
    </w:p>
    <w:p>
      <w:pPr>
        <w:pStyle w:val="2"/>
        <w:spacing w:beforeLines="0" w:line="560" w:lineRule="exact"/>
        <w:rPr>
          <w:rFonts w:ascii="Times New Roman"/>
        </w:rPr>
      </w:pPr>
    </w:p>
    <w:p>
      <w:pPr>
        <w:pStyle w:val="2"/>
        <w:spacing w:beforeLines="0" w:line="560" w:lineRule="exact"/>
        <w:rPr>
          <w:rFonts w:ascii="Times New Roman"/>
        </w:rPr>
      </w:pPr>
    </w:p>
    <w:p>
      <w:pPr>
        <w:spacing w:line="560" w:lineRule="exact"/>
        <w:rPr>
          <w:rFonts w:eastAsia="仿宋"/>
          <w:sz w:val="32"/>
          <w:szCs w:val="32"/>
        </w:rPr>
      </w:pPr>
    </w:p>
    <w:p>
      <w:pPr>
        <w:spacing w:line="560" w:lineRule="exact"/>
        <w:ind w:firstLine="640"/>
        <w:outlineLvl w:val="2"/>
        <w:rPr>
          <w:rFonts w:eastAsia="楷体_GB2312" w:cs="楷体_GB2312"/>
          <w:bCs/>
          <w:sz w:val="32"/>
          <w:szCs w:val="32"/>
        </w:rPr>
      </w:pPr>
      <w:bookmarkStart w:id="30" w:name="_Toc15377212"/>
    </w:p>
    <w:p>
      <w:pPr>
        <w:spacing w:line="560" w:lineRule="exact"/>
        <w:ind w:firstLine="640"/>
        <w:outlineLvl w:val="2"/>
        <w:rPr>
          <w:rFonts w:eastAsia="仿宋"/>
          <w:bCs/>
          <w:sz w:val="32"/>
          <w:szCs w:val="32"/>
        </w:rPr>
      </w:pPr>
      <w:r>
        <w:rPr>
          <w:rFonts w:hint="eastAsia" w:eastAsia="楷体_GB2312" w:cs="楷体_GB2312"/>
          <w:bCs/>
          <w:sz w:val="32"/>
          <w:szCs w:val="32"/>
        </w:rPr>
        <w:t>（三）一般公共预算财政拨款支出决算具体情况</w:t>
      </w:r>
      <w:bookmarkEnd w:id="30"/>
      <w:bookmarkStart w:id="31" w:name="_Toc15377444"/>
      <w:bookmarkStart w:id="32" w:name="_Toc15378460"/>
      <w:bookmarkStart w:id="33" w:name="_Toc15377213"/>
    </w:p>
    <w:p>
      <w:pPr>
        <w:spacing w:line="560" w:lineRule="exact"/>
        <w:ind w:firstLine="640" w:firstLineChars="200"/>
        <w:outlineLvl w:val="2"/>
        <w:rPr>
          <w:rFonts w:eastAsia="仿宋"/>
          <w:bCs/>
          <w:sz w:val="32"/>
          <w:szCs w:val="32"/>
        </w:rPr>
      </w:pPr>
      <w:r>
        <w:rPr>
          <w:rFonts w:hint="eastAsia" w:eastAsia="仿宋"/>
          <w:bCs/>
          <w:sz w:val="32"/>
          <w:szCs w:val="32"/>
        </w:rPr>
        <w:t>2021年一般公共预算支出决算数为</w:t>
      </w:r>
      <w:r>
        <w:rPr>
          <w:rFonts w:eastAsia="仿宋"/>
          <w:bCs/>
          <w:sz w:val="32"/>
          <w:szCs w:val="32"/>
        </w:rPr>
        <w:t>1787.88</w:t>
      </w:r>
      <w:r>
        <w:rPr>
          <w:rFonts w:hint="eastAsia" w:eastAsia="仿宋"/>
          <w:bCs/>
          <w:sz w:val="32"/>
          <w:szCs w:val="32"/>
        </w:rPr>
        <w:t>万元，</w:t>
      </w:r>
      <w:r>
        <w:rPr>
          <w:rStyle w:val="14"/>
          <w:rFonts w:hint="eastAsia" w:eastAsia="仿宋"/>
          <w:b w:val="0"/>
          <w:bCs/>
          <w:sz w:val="32"/>
          <w:szCs w:val="32"/>
        </w:rPr>
        <w:t>完成预算</w:t>
      </w:r>
      <w:r>
        <w:rPr>
          <w:rStyle w:val="14"/>
          <w:rFonts w:eastAsia="仿宋"/>
          <w:b w:val="0"/>
          <w:bCs/>
          <w:sz w:val="32"/>
          <w:szCs w:val="32"/>
        </w:rPr>
        <w:t>99.68%</w:t>
      </w:r>
      <w:r>
        <w:rPr>
          <w:rStyle w:val="14"/>
          <w:rFonts w:hint="eastAsia" w:eastAsia="仿宋"/>
          <w:b w:val="0"/>
          <w:bCs/>
          <w:sz w:val="32"/>
          <w:szCs w:val="32"/>
        </w:rPr>
        <w:t>。其中：</w:t>
      </w:r>
      <w:bookmarkEnd w:id="31"/>
      <w:bookmarkEnd w:id="32"/>
      <w:bookmarkEnd w:id="33"/>
    </w:p>
    <w:p>
      <w:pPr>
        <w:spacing w:line="560" w:lineRule="exact"/>
        <w:ind w:firstLine="640" w:firstLineChars="200"/>
        <w:rPr>
          <w:rStyle w:val="14"/>
          <w:rFonts w:eastAsia="仿宋"/>
          <w:b w:val="0"/>
          <w:bCs/>
          <w:sz w:val="32"/>
          <w:szCs w:val="32"/>
        </w:rPr>
      </w:pPr>
      <w:r>
        <w:rPr>
          <w:rStyle w:val="14"/>
          <w:rFonts w:eastAsia="仿宋"/>
          <w:b w:val="0"/>
          <w:bCs/>
          <w:sz w:val="32"/>
          <w:szCs w:val="32"/>
        </w:rPr>
        <w:t>1.</w:t>
      </w:r>
      <w:r>
        <w:rPr>
          <w:rStyle w:val="14"/>
          <w:rFonts w:hint="eastAsia" w:eastAsia="仿宋"/>
          <w:b w:val="0"/>
          <w:bCs/>
          <w:sz w:val="32"/>
          <w:szCs w:val="32"/>
        </w:rPr>
        <w:t>一般公共服务（类）商贸</w:t>
      </w:r>
      <w:r>
        <w:rPr>
          <w:rStyle w:val="14"/>
          <w:rFonts w:eastAsia="仿宋"/>
          <w:b w:val="0"/>
          <w:bCs/>
          <w:sz w:val="32"/>
          <w:szCs w:val="32"/>
        </w:rPr>
        <w:t>事务</w:t>
      </w:r>
      <w:r>
        <w:rPr>
          <w:rStyle w:val="14"/>
          <w:rFonts w:hint="eastAsia" w:eastAsia="仿宋"/>
          <w:b w:val="0"/>
          <w:bCs/>
          <w:sz w:val="32"/>
          <w:szCs w:val="32"/>
        </w:rPr>
        <w:t>（款）行政</w:t>
      </w:r>
      <w:r>
        <w:rPr>
          <w:rStyle w:val="14"/>
          <w:rFonts w:eastAsia="仿宋"/>
          <w:b w:val="0"/>
          <w:bCs/>
          <w:sz w:val="32"/>
          <w:szCs w:val="32"/>
        </w:rPr>
        <w:t>运行</w:t>
      </w:r>
      <w:r>
        <w:rPr>
          <w:rStyle w:val="14"/>
          <w:rFonts w:hint="eastAsia" w:eastAsia="仿宋"/>
          <w:b w:val="0"/>
          <w:bCs/>
          <w:sz w:val="32"/>
          <w:szCs w:val="32"/>
        </w:rPr>
        <w:t>（项）</w:t>
      </w:r>
      <w:r>
        <w:rPr>
          <w:rStyle w:val="14"/>
          <w:rFonts w:eastAsia="仿宋"/>
          <w:b w:val="0"/>
          <w:bCs/>
          <w:sz w:val="32"/>
          <w:szCs w:val="32"/>
        </w:rPr>
        <w:t xml:space="preserve">: </w:t>
      </w:r>
      <w:r>
        <w:rPr>
          <w:rStyle w:val="14"/>
          <w:rFonts w:hint="eastAsia" w:eastAsia="仿宋"/>
          <w:b w:val="0"/>
          <w:bCs/>
          <w:sz w:val="32"/>
          <w:szCs w:val="32"/>
        </w:rPr>
        <w:t>支出决算为</w:t>
      </w:r>
      <w:r>
        <w:rPr>
          <w:rStyle w:val="14"/>
          <w:rFonts w:eastAsia="仿宋"/>
          <w:b w:val="0"/>
          <w:bCs/>
          <w:sz w:val="32"/>
          <w:szCs w:val="32"/>
        </w:rPr>
        <w:t>1021</w:t>
      </w:r>
      <w:r>
        <w:rPr>
          <w:rStyle w:val="14"/>
          <w:rFonts w:hint="eastAsia" w:eastAsia="仿宋"/>
          <w:b w:val="0"/>
          <w:bCs/>
          <w:sz w:val="32"/>
          <w:szCs w:val="32"/>
        </w:rPr>
        <w:t>万元，完成预算99.8</w:t>
      </w:r>
      <w:r>
        <w:rPr>
          <w:rStyle w:val="14"/>
          <w:rFonts w:eastAsia="仿宋"/>
          <w:b w:val="0"/>
          <w:bCs/>
          <w:sz w:val="32"/>
          <w:szCs w:val="32"/>
        </w:rPr>
        <w:t>%</w:t>
      </w:r>
      <w:r>
        <w:rPr>
          <w:rStyle w:val="14"/>
          <w:rFonts w:hint="eastAsia" w:eastAsia="仿宋"/>
          <w:b w:val="0"/>
          <w:bCs/>
          <w:sz w:val="32"/>
          <w:szCs w:val="32"/>
        </w:rPr>
        <w:t>，决算数小于预算数的主要原因是</w:t>
      </w:r>
      <w:r>
        <w:rPr>
          <w:rStyle w:val="14"/>
          <w:rFonts w:eastAsia="仿宋"/>
          <w:b w:val="0"/>
          <w:bCs/>
          <w:sz w:val="32"/>
          <w:szCs w:val="32"/>
        </w:rPr>
        <w:t>：厉</w:t>
      </w:r>
      <w:r>
        <w:rPr>
          <w:rStyle w:val="14"/>
          <w:rFonts w:hint="eastAsia" w:eastAsia="仿宋"/>
          <w:b w:val="0"/>
          <w:bCs/>
          <w:sz w:val="32"/>
          <w:szCs w:val="32"/>
        </w:rPr>
        <w:t>行</w:t>
      </w:r>
      <w:r>
        <w:rPr>
          <w:rStyle w:val="14"/>
          <w:rFonts w:eastAsia="仿宋"/>
          <w:b w:val="0"/>
          <w:bCs/>
          <w:sz w:val="32"/>
          <w:szCs w:val="32"/>
        </w:rPr>
        <w:t>节约减少</w:t>
      </w:r>
      <w:r>
        <w:rPr>
          <w:rStyle w:val="14"/>
          <w:rFonts w:hint="eastAsia" w:eastAsia="仿宋"/>
          <w:b w:val="0"/>
          <w:bCs/>
          <w:sz w:val="32"/>
          <w:szCs w:val="32"/>
        </w:rPr>
        <w:t>了</w:t>
      </w:r>
      <w:r>
        <w:rPr>
          <w:rStyle w:val="14"/>
          <w:rFonts w:eastAsia="仿宋"/>
          <w:b w:val="0"/>
          <w:bCs/>
          <w:sz w:val="32"/>
          <w:szCs w:val="32"/>
        </w:rPr>
        <w:t xml:space="preserve">开支。 </w:t>
      </w:r>
    </w:p>
    <w:p>
      <w:pPr>
        <w:spacing w:line="560" w:lineRule="exact"/>
        <w:ind w:firstLine="640" w:firstLineChars="200"/>
        <w:rPr>
          <w:rStyle w:val="14"/>
          <w:rFonts w:eastAsia="仿宋"/>
          <w:b w:val="0"/>
          <w:bCs/>
          <w:sz w:val="32"/>
          <w:szCs w:val="32"/>
        </w:rPr>
      </w:pPr>
      <w:r>
        <w:rPr>
          <w:rStyle w:val="14"/>
          <w:rFonts w:hint="eastAsia" w:eastAsia="仿宋"/>
          <w:b w:val="0"/>
          <w:bCs/>
          <w:sz w:val="32"/>
          <w:szCs w:val="32"/>
        </w:rPr>
        <w:t>2.一般公共服务（类）商贸</w:t>
      </w:r>
      <w:r>
        <w:rPr>
          <w:rStyle w:val="14"/>
          <w:rFonts w:eastAsia="仿宋"/>
          <w:b w:val="0"/>
          <w:bCs/>
          <w:sz w:val="32"/>
          <w:szCs w:val="32"/>
        </w:rPr>
        <w:t>事务</w:t>
      </w:r>
      <w:r>
        <w:rPr>
          <w:rStyle w:val="14"/>
          <w:rFonts w:hint="eastAsia" w:eastAsia="仿宋"/>
          <w:b w:val="0"/>
          <w:bCs/>
          <w:sz w:val="32"/>
          <w:szCs w:val="32"/>
        </w:rPr>
        <w:t>（款）一般</w:t>
      </w:r>
      <w:r>
        <w:rPr>
          <w:rStyle w:val="14"/>
          <w:rFonts w:eastAsia="仿宋"/>
          <w:b w:val="0"/>
          <w:bCs/>
          <w:sz w:val="32"/>
          <w:szCs w:val="32"/>
        </w:rPr>
        <w:t>行政管理事务</w:t>
      </w:r>
      <w:r>
        <w:rPr>
          <w:rStyle w:val="14"/>
          <w:rFonts w:hint="eastAsia" w:eastAsia="仿宋"/>
          <w:b w:val="0"/>
          <w:bCs/>
          <w:sz w:val="32"/>
          <w:szCs w:val="32"/>
        </w:rPr>
        <w:t>（项）</w:t>
      </w:r>
      <w:r>
        <w:rPr>
          <w:rStyle w:val="14"/>
          <w:rFonts w:eastAsia="仿宋"/>
          <w:b w:val="0"/>
          <w:bCs/>
          <w:sz w:val="32"/>
          <w:szCs w:val="32"/>
        </w:rPr>
        <w:t>:</w:t>
      </w:r>
      <w:r>
        <w:rPr>
          <w:rStyle w:val="14"/>
          <w:rFonts w:hint="eastAsia" w:eastAsia="仿宋"/>
          <w:b w:val="0"/>
          <w:bCs/>
          <w:sz w:val="32"/>
          <w:szCs w:val="32"/>
        </w:rPr>
        <w:t xml:space="preserve"> 支出决算为</w:t>
      </w:r>
      <w:r>
        <w:rPr>
          <w:rStyle w:val="14"/>
          <w:rFonts w:eastAsia="仿宋"/>
          <w:b w:val="0"/>
          <w:bCs/>
          <w:sz w:val="32"/>
          <w:szCs w:val="32"/>
        </w:rPr>
        <w:t>332.33</w:t>
      </w:r>
      <w:r>
        <w:rPr>
          <w:rStyle w:val="14"/>
          <w:rFonts w:hint="eastAsia" w:eastAsia="仿宋"/>
          <w:b w:val="0"/>
          <w:bCs/>
          <w:sz w:val="32"/>
          <w:szCs w:val="32"/>
        </w:rPr>
        <w:t>万元，完成预算99.08</w:t>
      </w:r>
      <w:r>
        <w:rPr>
          <w:rStyle w:val="14"/>
          <w:rFonts w:eastAsia="仿宋"/>
          <w:b w:val="0"/>
          <w:bCs/>
          <w:sz w:val="32"/>
          <w:szCs w:val="32"/>
        </w:rPr>
        <w:t>%</w:t>
      </w:r>
      <w:r>
        <w:rPr>
          <w:rStyle w:val="14"/>
          <w:rFonts w:hint="eastAsia" w:eastAsia="仿宋"/>
          <w:b w:val="0"/>
          <w:bCs/>
          <w:sz w:val="32"/>
          <w:szCs w:val="32"/>
        </w:rPr>
        <w:t>，决算数小于预算数的主要原因是：</w:t>
      </w:r>
      <w:r>
        <w:rPr>
          <w:rStyle w:val="14"/>
          <w:rFonts w:eastAsia="仿宋"/>
          <w:b w:val="0"/>
          <w:bCs/>
          <w:sz w:val="32"/>
          <w:szCs w:val="32"/>
        </w:rPr>
        <w:t>因新冠</w:t>
      </w:r>
      <w:r>
        <w:rPr>
          <w:rStyle w:val="14"/>
          <w:rFonts w:hint="eastAsia" w:eastAsia="仿宋"/>
          <w:b w:val="0"/>
          <w:bCs/>
          <w:sz w:val="32"/>
          <w:szCs w:val="32"/>
        </w:rPr>
        <w:t>肺炎</w:t>
      </w:r>
      <w:r>
        <w:rPr>
          <w:rStyle w:val="14"/>
          <w:rFonts w:eastAsia="仿宋"/>
          <w:b w:val="0"/>
          <w:bCs/>
          <w:sz w:val="32"/>
          <w:szCs w:val="32"/>
        </w:rPr>
        <w:t>疫情，减少</w:t>
      </w:r>
      <w:r>
        <w:rPr>
          <w:rStyle w:val="14"/>
          <w:rFonts w:hint="eastAsia" w:eastAsia="仿宋"/>
          <w:b w:val="0"/>
          <w:bCs/>
          <w:sz w:val="32"/>
          <w:szCs w:val="32"/>
        </w:rPr>
        <w:t>了</w:t>
      </w:r>
      <w:r>
        <w:rPr>
          <w:rStyle w:val="14"/>
          <w:rFonts w:eastAsia="仿宋"/>
          <w:b w:val="0"/>
          <w:bCs/>
          <w:sz w:val="32"/>
          <w:szCs w:val="32"/>
        </w:rPr>
        <w:t>培训</w:t>
      </w:r>
      <w:r>
        <w:rPr>
          <w:rStyle w:val="14"/>
          <w:rFonts w:hint="eastAsia" w:eastAsia="仿宋"/>
          <w:b w:val="0"/>
          <w:bCs/>
          <w:sz w:val="32"/>
          <w:szCs w:val="32"/>
        </w:rPr>
        <w:t>费用。</w:t>
      </w:r>
    </w:p>
    <w:p>
      <w:pPr>
        <w:spacing w:line="560" w:lineRule="exact"/>
        <w:ind w:firstLine="420" w:firstLineChars="200"/>
        <w:rPr>
          <w:rStyle w:val="14"/>
          <w:rFonts w:eastAsia="仿宋"/>
          <w:b w:val="0"/>
          <w:bCs/>
          <w:sz w:val="32"/>
          <w:szCs w:val="32"/>
        </w:rPr>
      </w:pPr>
      <w:r>
        <w:rPr>
          <w:bCs/>
        </w:rPr>
        <w:t xml:space="preserve">  </w:t>
      </w:r>
      <w:r>
        <w:rPr>
          <w:rStyle w:val="14"/>
          <w:rFonts w:eastAsia="仿宋"/>
          <w:b w:val="0"/>
          <w:bCs/>
          <w:sz w:val="32"/>
          <w:szCs w:val="32"/>
        </w:rPr>
        <w:t>3.</w:t>
      </w:r>
      <w:r>
        <w:rPr>
          <w:rStyle w:val="14"/>
          <w:rFonts w:hint="eastAsia" w:eastAsia="仿宋"/>
          <w:b w:val="0"/>
          <w:bCs/>
          <w:sz w:val="32"/>
          <w:szCs w:val="32"/>
        </w:rPr>
        <w:t>一般公共服务（类）商贸</w:t>
      </w:r>
      <w:r>
        <w:rPr>
          <w:rStyle w:val="14"/>
          <w:rFonts w:eastAsia="仿宋"/>
          <w:b w:val="0"/>
          <w:bCs/>
          <w:sz w:val="32"/>
          <w:szCs w:val="32"/>
        </w:rPr>
        <w:t>事务</w:t>
      </w:r>
      <w:r>
        <w:rPr>
          <w:rStyle w:val="14"/>
          <w:rFonts w:hint="eastAsia" w:eastAsia="仿宋"/>
          <w:b w:val="0"/>
          <w:bCs/>
          <w:sz w:val="32"/>
          <w:szCs w:val="32"/>
        </w:rPr>
        <w:t>（款）招商</w:t>
      </w:r>
      <w:r>
        <w:rPr>
          <w:rStyle w:val="14"/>
          <w:rFonts w:eastAsia="仿宋"/>
          <w:b w:val="0"/>
          <w:bCs/>
          <w:sz w:val="32"/>
          <w:szCs w:val="32"/>
        </w:rPr>
        <w:t>引资管理</w:t>
      </w:r>
      <w:r>
        <w:rPr>
          <w:rStyle w:val="14"/>
          <w:rFonts w:hint="eastAsia" w:eastAsia="仿宋"/>
          <w:b w:val="0"/>
          <w:bCs/>
          <w:sz w:val="32"/>
          <w:szCs w:val="32"/>
        </w:rPr>
        <w:t>（项）</w:t>
      </w:r>
      <w:r>
        <w:rPr>
          <w:rStyle w:val="14"/>
          <w:rFonts w:eastAsia="仿宋"/>
          <w:b w:val="0"/>
          <w:bCs/>
          <w:sz w:val="32"/>
          <w:szCs w:val="32"/>
        </w:rPr>
        <w:t>:</w:t>
      </w:r>
      <w:r>
        <w:rPr>
          <w:rStyle w:val="14"/>
          <w:rFonts w:hint="eastAsia" w:eastAsia="仿宋"/>
          <w:b w:val="0"/>
          <w:bCs/>
          <w:sz w:val="32"/>
          <w:szCs w:val="32"/>
        </w:rPr>
        <w:t xml:space="preserve"> 支出决算为</w:t>
      </w:r>
      <w:r>
        <w:rPr>
          <w:rStyle w:val="14"/>
          <w:rFonts w:eastAsia="仿宋"/>
          <w:b w:val="0"/>
          <w:bCs/>
          <w:sz w:val="32"/>
          <w:szCs w:val="32"/>
        </w:rPr>
        <w:t>55.32</w:t>
      </w:r>
      <w:r>
        <w:rPr>
          <w:rStyle w:val="14"/>
          <w:rFonts w:hint="eastAsia" w:eastAsia="仿宋"/>
          <w:b w:val="0"/>
          <w:bCs/>
          <w:sz w:val="32"/>
          <w:szCs w:val="32"/>
        </w:rPr>
        <w:t>万元，完成预算98.79</w:t>
      </w:r>
      <w:r>
        <w:rPr>
          <w:rStyle w:val="14"/>
          <w:rFonts w:eastAsia="仿宋"/>
          <w:b w:val="0"/>
          <w:bCs/>
          <w:sz w:val="32"/>
          <w:szCs w:val="32"/>
        </w:rPr>
        <w:t>%</w:t>
      </w:r>
      <w:r>
        <w:rPr>
          <w:rStyle w:val="14"/>
          <w:rFonts w:hint="eastAsia" w:eastAsia="仿宋"/>
          <w:b w:val="0"/>
          <w:bCs/>
          <w:sz w:val="32"/>
          <w:szCs w:val="32"/>
        </w:rPr>
        <w:t>，决算数小于预算数的主要原因是：</w:t>
      </w:r>
      <w:r>
        <w:rPr>
          <w:rStyle w:val="14"/>
          <w:rFonts w:eastAsia="仿宋"/>
          <w:b w:val="0"/>
          <w:bCs/>
          <w:sz w:val="32"/>
          <w:szCs w:val="32"/>
        </w:rPr>
        <w:t>因新冠</w:t>
      </w:r>
      <w:r>
        <w:rPr>
          <w:rStyle w:val="14"/>
          <w:rFonts w:hint="eastAsia" w:eastAsia="仿宋"/>
          <w:b w:val="0"/>
          <w:bCs/>
          <w:sz w:val="32"/>
          <w:szCs w:val="32"/>
        </w:rPr>
        <w:t>肺炎</w:t>
      </w:r>
      <w:r>
        <w:rPr>
          <w:rStyle w:val="14"/>
          <w:rFonts w:eastAsia="仿宋"/>
          <w:b w:val="0"/>
          <w:bCs/>
          <w:sz w:val="32"/>
          <w:szCs w:val="32"/>
        </w:rPr>
        <w:t>疫情，减少</w:t>
      </w:r>
      <w:r>
        <w:rPr>
          <w:rStyle w:val="14"/>
          <w:rFonts w:hint="eastAsia" w:eastAsia="仿宋"/>
          <w:b w:val="0"/>
          <w:bCs/>
          <w:sz w:val="32"/>
          <w:szCs w:val="32"/>
        </w:rPr>
        <w:t>了</w:t>
      </w:r>
      <w:r>
        <w:rPr>
          <w:rStyle w:val="14"/>
          <w:rFonts w:eastAsia="仿宋"/>
          <w:b w:val="0"/>
          <w:bCs/>
          <w:sz w:val="32"/>
          <w:szCs w:val="32"/>
        </w:rPr>
        <w:t>相应</w:t>
      </w:r>
      <w:r>
        <w:rPr>
          <w:rStyle w:val="14"/>
          <w:rFonts w:hint="eastAsia" w:eastAsia="仿宋"/>
          <w:b w:val="0"/>
          <w:bCs/>
          <w:sz w:val="32"/>
          <w:szCs w:val="32"/>
        </w:rPr>
        <w:t>考察</w:t>
      </w:r>
      <w:r>
        <w:rPr>
          <w:rStyle w:val="14"/>
          <w:rFonts w:eastAsia="仿宋"/>
          <w:b w:val="0"/>
          <w:bCs/>
          <w:sz w:val="32"/>
          <w:szCs w:val="32"/>
        </w:rPr>
        <w:t xml:space="preserve">、平台活动支出。 </w:t>
      </w:r>
    </w:p>
    <w:p>
      <w:pPr>
        <w:spacing w:line="560" w:lineRule="exact"/>
        <w:ind w:firstLine="640" w:firstLineChars="200"/>
        <w:rPr>
          <w:rStyle w:val="14"/>
          <w:rFonts w:eastAsia="仿宋"/>
          <w:b w:val="0"/>
          <w:bCs/>
          <w:sz w:val="32"/>
          <w:szCs w:val="32"/>
        </w:rPr>
      </w:pPr>
      <w:r>
        <w:rPr>
          <w:rStyle w:val="14"/>
          <w:rFonts w:eastAsia="仿宋"/>
          <w:b w:val="0"/>
          <w:bCs/>
          <w:sz w:val="32"/>
          <w:szCs w:val="32"/>
        </w:rPr>
        <w:t>4.</w:t>
      </w:r>
      <w:r>
        <w:rPr>
          <w:rStyle w:val="14"/>
          <w:rFonts w:hint="eastAsia" w:eastAsia="仿宋"/>
          <w:b w:val="0"/>
          <w:bCs/>
          <w:sz w:val="32"/>
          <w:szCs w:val="32"/>
        </w:rPr>
        <w:t>社会保障和就业（类）行政</w:t>
      </w:r>
      <w:r>
        <w:rPr>
          <w:rStyle w:val="14"/>
          <w:rFonts w:eastAsia="仿宋"/>
          <w:b w:val="0"/>
          <w:bCs/>
          <w:sz w:val="32"/>
          <w:szCs w:val="32"/>
        </w:rPr>
        <w:t>事业单位养老支出</w:t>
      </w:r>
      <w:r>
        <w:rPr>
          <w:rStyle w:val="14"/>
          <w:rFonts w:hint="eastAsia" w:eastAsia="仿宋"/>
          <w:b w:val="0"/>
          <w:bCs/>
          <w:sz w:val="32"/>
          <w:szCs w:val="32"/>
        </w:rPr>
        <w:t>（款）行政单位</w:t>
      </w:r>
      <w:r>
        <w:rPr>
          <w:rStyle w:val="14"/>
          <w:rFonts w:eastAsia="仿宋"/>
          <w:b w:val="0"/>
          <w:bCs/>
          <w:sz w:val="32"/>
          <w:szCs w:val="32"/>
        </w:rPr>
        <w:t>离退休</w:t>
      </w:r>
      <w:r>
        <w:rPr>
          <w:rStyle w:val="14"/>
          <w:rFonts w:hint="eastAsia" w:eastAsia="仿宋"/>
          <w:b w:val="0"/>
          <w:bCs/>
          <w:sz w:val="32"/>
          <w:szCs w:val="32"/>
        </w:rPr>
        <w:t>（项）</w:t>
      </w:r>
      <w:r>
        <w:rPr>
          <w:rStyle w:val="14"/>
          <w:rFonts w:eastAsia="仿宋"/>
          <w:b w:val="0"/>
          <w:bCs/>
          <w:sz w:val="32"/>
          <w:szCs w:val="32"/>
        </w:rPr>
        <w:t xml:space="preserve">: </w:t>
      </w:r>
      <w:r>
        <w:rPr>
          <w:rStyle w:val="14"/>
          <w:rFonts w:hint="eastAsia" w:eastAsia="仿宋"/>
          <w:b w:val="0"/>
          <w:bCs/>
          <w:sz w:val="32"/>
          <w:szCs w:val="32"/>
        </w:rPr>
        <w:t>支出决算为</w:t>
      </w:r>
      <w:r>
        <w:rPr>
          <w:rStyle w:val="14"/>
          <w:rFonts w:eastAsia="仿宋"/>
          <w:b w:val="0"/>
          <w:bCs/>
          <w:sz w:val="32"/>
          <w:szCs w:val="32"/>
        </w:rPr>
        <w:t>75.34</w:t>
      </w:r>
      <w:r>
        <w:rPr>
          <w:rStyle w:val="14"/>
          <w:rFonts w:hint="eastAsia" w:eastAsia="仿宋"/>
          <w:b w:val="0"/>
          <w:bCs/>
          <w:sz w:val="32"/>
          <w:szCs w:val="32"/>
        </w:rPr>
        <w:t>万元，完成预算100</w:t>
      </w:r>
      <w:r>
        <w:rPr>
          <w:rStyle w:val="14"/>
          <w:rFonts w:eastAsia="仿宋"/>
          <w:b w:val="0"/>
          <w:bCs/>
          <w:sz w:val="32"/>
          <w:szCs w:val="32"/>
        </w:rPr>
        <w:t>%</w:t>
      </w:r>
      <w:r>
        <w:rPr>
          <w:rStyle w:val="14"/>
          <w:rFonts w:hint="eastAsia" w:eastAsia="仿宋"/>
          <w:b w:val="0"/>
          <w:bCs/>
          <w:sz w:val="32"/>
          <w:szCs w:val="32"/>
        </w:rPr>
        <w:t>。</w:t>
      </w:r>
      <w:r>
        <w:rPr>
          <w:rStyle w:val="14"/>
          <w:rFonts w:eastAsia="仿宋"/>
          <w:b w:val="0"/>
          <w:bCs/>
          <w:sz w:val="32"/>
          <w:szCs w:val="32"/>
        </w:rPr>
        <w:t xml:space="preserve"> </w:t>
      </w:r>
    </w:p>
    <w:p>
      <w:pPr>
        <w:spacing w:line="560" w:lineRule="exact"/>
        <w:ind w:firstLine="420" w:firstLineChars="200"/>
        <w:rPr>
          <w:rFonts w:eastAsia="仿宋"/>
          <w:bCs/>
          <w:sz w:val="32"/>
          <w:szCs w:val="32"/>
        </w:rPr>
      </w:pPr>
      <w:r>
        <w:rPr>
          <w:rFonts w:hint="eastAsia"/>
          <w:bCs/>
        </w:rPr>
        <w:t xml:space="preserve">  </w:t>
      </w:r>
      <w:r>
        <w:rPr>
          <w:rStyle w:val="14"/>
          <w:rFonts w:eastAsia="仿宋"/>
          <w:b w:val="0"/>
          <w:bCs/>
          <w:sz w:val="32"/>
          <w:szCs w:val="32"/>
        </w:rPr>
        <w:t>5.</w:t>
      </w:r>
      <w:r>
        <w:rPr>
          <w:rStyle w:val="14"/>
          <w:rFonts w:hint="eastAsia" w:eastAsia="仿宋"/>
          <w:b w:val="0"/>
          <w:bCs/>
          <w:sz w:val="32"/>
          <w:szCs w:val="32"/>
        </w:rPr>
        <w:t>社会保障和就业（类）行政</w:t>
      </w:r>
      <w:r>
        <w:rPr>
          <w:rStyle w:val="14"/>
          <w:rFonts w:eastAsia="仿宋"/>
          <w:b w:val="0"/>
          <w:bCs/>
          <w:sz w:val="32"/>
          <w:szCs w:val="32"/>
        </w:rPr>
        <w:t>事业单位养老支出</w:t>
      </w:r>
      <w:r>
        <w:rPr>
          <w:rStyle w:val="14"/>
          <w:rFonts w:hint="eastAsia" w:eastAsia="仿宋"/>
          <w:b w:val="0"/>
          <w:bCs/>
          <w:sz w:val="32"/>
          <w:szCs w:val="32"/>
        </w:rPr>
        <w:t>（款）机关</w:t>
      </w:r>
      <w:r>
        <w:rPr>
          <w:rStyle w:val="14"/>
          <w:rFonts w:eastAsia="仿宋"/>
          <w:b w:val="0"/>
          <w:bCs/>
          <w:sz w:val="32"/>
          <w:szCs w:val="32"/>
        </w:rPr>
        <w:t>事业单位</w:t>
      </w:r>
      <w:r>
        <w:rPr>
          <w:rStyle w:val="14"/>
          <w:rFonts w:hint="eastAsia" w:eastAsia="仿宋"/>
          <w:b w:val="0"/>
          <w:bCs/>
          <w:sz w:val="32"/>
          <w:szCs w:val="32"/>
        </w:rPr>
        <w:t>基本</w:t>
      </w:r>
      <w:r>
        <w:rPr>
          <w:rStyle w:val="14"/>
          <w:rFonts w:eastAsia="仿宋"/>
          <w:b w:val="0"/>
          <w:bCs/>
          <w:sz w:val="32"/>
          <w:szCs w:val="32"/>
        </w:rPr>
        <w:t>养老保险缴费支出</w:t>
      </w:r>
      <w:r>
        <w:rPr>
          <w:rStyle w:val="14"/>
          <w:rFonts w:hint="eastAsia" w:eastAsia="仿宋"/>
          <w:b w:val="0"/>
          <w:bCs/>
          <w:sz w:val="32"/>
          <w:szCs w:val="32"/>
        </w:rPr>
        <w:t>（项）</w:t>
      </w:r>
      <w:r>
        <w:rPr>
          <w:rStyle w:val="14"/>
          <w:rFonts w:eastAsia="仿宋"/>
          <w:b w:val="0"/>
          <w:bCs/>
          <w:sz w:val="32"/>
          <w:szCs w:val="32"/>
        </w:rPr>
        <w:t xml:space="preserve">: </w:t>
      </w:r>
      <w:r>
        <w:rPr>
          <w:rStyle w:val="14"/>
          <w:rFonts w:hint="eastAsia" w:eastAsia="仿宋"/>
          <w:b w:val="0"/>
          <w:bCs/>
          <w:sz w:val="32"/>
          <w:szCs w:val="32"/>
        </w:rPr>
        <w:t>支出决算为</w:t>
      </w:r>
      <w:r>
        <w:rPr>
          <w:rStyle w:val="14"/>
          <w:rFonts w:eastAsia="仿宋"/>
          <w:b w:val="0"/>
          <w:bCs/>
          <w:sz w:val="32"/>
          <w:szCs w:val="32"/>
        </w:rPr>
        <w:t>75.86</w:t>
      </w:r>
      <w:r>
        <w:rPr>
          <w:rStyle w:val="14"/>
          <w:rFonts w:hint="eastAsia" w:eastAsia="仿宋"/>
          <w:b w:val="0"/>
          <w:bCs/>
          <w:sz w:val="32"/>
          <w:szCs w:val="32"/>
        </w:rPr>
        <w:t>万元，完成预算100</w:t>
      </w:r>
      <w:r>
        <w:rPr>
          <w:rStyle w:val="14"/>
          <w:rFonts w:eastAsia="仿宋"/>
          <w:b w:val="0"/>
          <w:bCs/>
          <w:sz w:val="32"/>
          <w:szCs w:val="32"/>
        </w:rPr>
        <w:t>%</w:t>
      </w:r>
      <w:r>
        <w:rPr>
          <w:rStyle w:val="14"/>
          <w:rFonts w:hint="eastAsia" w:eastAsia="仿宋"/>
          <w:b w:val="0"/>
          <w:bCs/>
          <w:sz w:val="32"/>
          <w:szCs w:val="32"/>
        </w:rPr>
        <w:t>。</w:t>
      </w:r>
      <w:r>
        <w:rPr>
          <w:rFonts w:eastAsia="仿宋"/>
          <w:bCs/>
          <w:sz w:val="32"/>
          <w:szCs w:val="32"/>
        </w:rPr>
        <w:t xml:space="preserve"> </w:t>
      </w:r>
    </w:p>
    <w:p>
      <w:pPr>
        <w:spacing w:line="560" w:lineRule="exact"/>
        <w:ind w:firstLine="640" w:firstLineChars="200"/>
        <w:rPr>
          <w:rStyle w:val="14"/>
          <w:rFonts w:eastAsia="仿宋"/>
          <w:b w:val="0"/>
          <w:bCs/>
          <w:sz w:val="32"/>
          <w:szCs w:val="32"/>
        </w:rPr>
      </w:pPr>
      <w:r>
        <w:rPr>
          <w:rStyle w:val="14"/>
          <w:rFonts w:hint="eastAsia" w:eastAsia="仿宋"/>
          <w:b w:val="0"/>
          <w:bCs/>
          <w:sz w:val="32"/>
          <w:szCs w:val="32"/>
        </w:rPr>
        <w:t>6.社会保障和就业（类）行政</w:t>
      </w:r>
      <w:r>
        <w:rPr>
          <w:rStyle w:val="14"/>
          <w:rFonts w:eastAsia="仿宋"/>
          <w:b w:val="0"/>
          <w:bCs/>
          <w:sz w:val="32"/>
          <w:szCs w:val="32"/>
        </w:rPr>
        <w:t>事业单位养老支出</w:t>
      </w:r>
      <w:r>
        <w:rPr>
          <w:rStyle w:val="14"/>
          <w:rFonts w:hint="eastAsia" w:eastAsia="仿宋"/>
          <w:b w:val="0"/>
          <w:bCs/>
          <w:sz w:val="32"/>
          <w:szCs w:val="32"/>
        </w:rPr>
        <w:t>（款）机关</w:t>
      </w:r>
      <w:r>
        <w:rPr>
          <w:rStyle w:val="14"/>
          <w:rFonts w:eastAsia="仿宋"/>
          <w:b w:val="0"/>
          <w:bCs/>
          <w:sz w:val="32"/>
          <w:szCs w:val="32"/>
        </w:rPr>
        <w:t>事业单位</w:t>
      </w:r>
      <w:r>
        <w:rPr>
          <w:rStyle w:val="14"/>
          <w:rFonts w:hint="eastAsia" w:eastAsia="仿宋"/>
          <w:b w:val="0"/>
          <w:bCs/>
          <w:sz w:val="32"/>
          <w:szCs w:val="32"/>
        </w:rPr>
        <w:t>职业</w:t>
      </w:r>
      <w:r>
        <w:rPr>
          <w:rStyle w:val="14"/>
          <w:rFonts w:eastAsia="仿宋"/>
          <w:b w:val="0"/>
          <w:bCs/>
          <w:sz w:val="32"/>
          <w:szCs w:val="32"/>
        </w:rPr>
        <w:t>年金缴费支出</w:t>
      </w:r>
      <w:r>
        <w:rPr>
          <w:rStyle w:val="14"/>
          <w:rFonts w:hint="eastAsia" w:eastAsia="仿宋"/>
          <w:b w:val="0"/>
          <w:bCs/>
          <w:sz w:val="32"/>
          <w:szCs w:val="32"/>
        </w:rPr>
        <w:t>（项）</w:t>
      </w:r>
      <w:r>
        <w:rPr>
          <w:rStyle w:val="14"/>
          <w:rFonts w:eastAsia="仿宋"/>
          <w:b w:val="0"/>
          <w:bCs/>
          <w:sz w:val="32"/>
          <w:szCs w:val="32"/>
        </w:rPr>
        <w:t xml:space="preserve">: </w:t>
      </w:r>
      <w:r>
        <w:rPr>
          <w:rStyle w:val="14"/>
          <w:rFonts w:hint="eastAsia" w:eastAsia="仿宋"/>
          <w:b w:val="0"/>
          <w:bCs/>
          <w:sz w:val="32"/>
          <w:szCs w:val="32"/>
        </w:rPr>
        <w:t>支出决算为</w:t>
      </w:r>
      <w:r>
        <w:rPr>
          <w:rStyle w:val="14"/>
          <w:rFonts w:eastAsia="仿宋"/>
          <w:b w:val="0"/>
          <w:bCs/>
          <w:sz w:val="32"/>
          <w:szCs w:val="32"/>
        </w:rPr>
        <w:t>112.1</w:t>
      </w:r>
      <w:r>
        <w:rPr>
          <w:rStyle w:val="14"/>
          <w:rFonts w:hint="eastAsia" w:eastAsia="仿宋"/>
          <w:b w:val="0"/>
          <w:bCs/>
          <w:sz w:val="32"/>
          <w:szCs w:val="32"/>
        </w:rPr>
        <w:t>万元，完成预算100</w:t>
      </w:r>
      <w:r>
        <w:rPr>
          <w:rStyle w:val="14"/>
          <w:rFonts w:eastAsia="仿宋"/>
          <w:b w:val="0"/>
          <w:bCs/>
          <w:sz w:val="32"/>
          <w:szCs w:val="32"/>
        </w:rPr>
        <w:t>%</w:t>
      </w:r>
      <w:r>
        <w:rPr>
          <w:rStyle w:val="14"/>
          <w:rFonts w:hint="eastAsia" w:eastAsia="仿宋"/>
          <w:b w:val="0"/>
          <w:bCs/>
          <w:sz w:val="32"/>
          <w:szCs w:val="32"/>
        </w:rPr>
        <w:t>。</w:t>
      </w:r>
    </w:p>
    <w:p>
      <w:pPr>
        <w:spacing w:line="560" w:lineRule="exact"/>
        <w:ind w:firstLine="640" w:firstLineChars="200"/>
        <w:rPr>
          <w:rFonts w:eastAsia="仿宋"/>
          <w:bCs/>
          <w:sz w:val="32"/>
          <w:szCs w:val="32"/>
        </w:rPr>
      </w:pPr>
      <w:r>
        <w:rPr>
          <w:rStyle w:val="14"/>
          <w:rFonts w:eastAsia="仿宋"/>
          <w:b w:val="0"/>
          <w:bCs/>
          <w:sz w:val="32"/>
          <w:szCs w:val="32"/>
        </w:rPr>
        <w:t>7.</w:t>
      </w:r>
      <w:r>
        <w:rPr>
          <w:rFonts w:hint="eastAsia" w:eastAsia="仿宋"/>
          <w:bCs/>
          <w:sz w:val="32"/>
          <w:szCs w:val="32"/>
        </w:rPr>
        <w:t>卫生健康</w:t>
      </w:r>
      <w:r>
        <w:rPr>
          <w:rStyle w:val="14"/>
          <w:rFonts w:hint="eastAsia" w:eastAsia="仿宋"/>
          <w:b w:val="0"/>
          <w:bCs/>
          <w:sz w:val="32"/>
          <w:szCs w:val="32"/>
        </w:rPr>
        <w:t>（类）行政事业</w:t>
      </w:r>
      <w:r>
        <w:rPr>
          <w:rStyle w:val="14"/>
          <w:rFonts w:eastAsia="仿宋"/>
          <w:b w:val="0"/>
          <w:bCs/>
          <w:sz w:val="32"/>
          <w:szCs w:val="32"/>
        </w:rPr>
        <w:t>单位医疗</w:t>
      </w:r>
      <w:r>
        <w:rPr>
          <w:rStyle w:val="14"/>
          <w:rFonts w:hint="eastAsia" w:eastAsia="仿宋"/>
          <w:b w:val="0"/>
          <w:bCs/>
          <w:sz w:val="32"/>
          <w:szCs w:val="32"/>
        </w:rPr>
        <w:t>（款）行政</w:t>
      </w:r>
      <w:r>
        <w:rPr>
          <w:rStyle w:val="14"/>
          <w:rFonts w:eastAsia="仿宋"/>
          <w:b w:val="0"/>
          <w:bCs/>
          <w:sz w:val="32"/>
          <w:szCs w:val="32"/>
        </w:rPr>
        <w:t>单位医疗</w:t>
      </w:r>
      <w:r>
        <w:rPr>
          <w:rStyle w:val="14"/>
          <w:rFonts w:hint="eastAsia" w:eastAsia="仿宋"/>
          <w:b w:val="0"/>
          <w:bCs/>
          <w:sz w:val="32"/>
          <w:szCs w:val="32"/>
        </w:rPr>
        <w:t>（项）</w:t>
      </w:r>
      <w:r>
        <w:rPr>
          <w:rStyle w:val="14"/>
          <w:rFonts w:eastAsia="仿宋"/>
          <w:b w:val="0"/>
          <w:bCs/>
          <w:sz w:val="32"/>
          <w:szCs w:val="32"/>
        </w:rPr>
        <w:t>:</w:t>
      </w:r>
      <w:r>
        <w:rPr>
          <w:rStyle w:val="14"/>
          <w:rFonts w:hint="eastAsia" w:eastAsia="仿宋"/>
          <w:b w:val="0"/>
          <w:bCs/>
          <w:sz w:val="32"/>
          <w:szCs w:val="32"/>
        </w:rPr>
        <w:t>支出决算为</w:t>
      </w:r>
      <w:r>
        <w:rPr>
          <w:rStyle w:val="14"/>
          <w:rFonts w:eastAsia="仿宋"/>
          <w:b w:val="0"/>
          <w:bCs/>
          <w:sz w:val="32"/>
          <w:szCs w:val="32"/>
        </w:rPr>
        <w:t>45.69</w:t>
      </w:r>
      <w:r>
        <w:rPr>
          <w:rStyle w:val="14"/>
          <w:rFonts w:hint="eastAsia" w:eastAsia="仿宋"/>
          <w:b w:val="0"/>
          <w:bCs/>
          <w:sz w:val="32"/>
          <w:szCs w:val="32"/>
        </w:rPr>
        <w:t>万元，完成预算</w:t>
      </w:r>
      <w:r>
        <w:rPr>
          <w:rStyle w:val="14"/>
          <w:rFonts w:eastAsia="仿宋"/>
          <w:b w:val="0"/>
          <w:bCs/>
          <w:sz w:val="32"/>
          <w:szCs w:val="32"/>
        </w:rPr>
        <w:t>100%</w:t>
      </w:r>
      <w:r>
        <w:rPr>
          <w:rStyle w:val="14"/>
          <w:rFonts w:hint="eastAsia" w:eastAsia="仿宋"/>
          <w:b w:val="0"/>
          <w:bCs/>
          <w:sz w:val="32"/>
          <w:szCs w:val="32"/>
        </w:rPr>
        <w:t>，</w:t>
      </w:r>
      <w:r>
        <w:rPr>
          <w:rStyle w:val="14"/>
          <w:rFonts w:hint="eastAsia" w:eastAsia="仿宋"/>
          <w:b w:val="0"/>
          <w:bCs/>
          <w:color w:val="000000" w:themeColor="text1"/>
          <w:sz w:val="32"/>
          <w:szCs w:val="32"/>
          <w14:textFill>
            <w14:solidFill>
              <w14:schemeClr w14:val="tx1"/>
            </w14:solidFill>
          </w14:textFill>
        </w:rPr>
        <w:t>决算数等于预算数。</w:t>
      </w:r>
      <w:r>
        <w:rPr>
          <w:rFonts w:eastAsia="仿宋"/>
          <w:bCs/>
          <w:sz w:val="32"/>
          <w:szCs w:val="32"/>
        </w:rPr>
        <w:t xml:space="preserve"> </w:t>
      </w:r>
    </w:p>
    <w:p>
      <w:pPr>
        <w:spacing w:line="560" w:lineRule="exact"/>
        <w:ind w:firstLine="640" w:firstLineChars="200"/>
        <w:rPr>
          <w:rFonts w:eastAsia="仿宋"/>
          <w:bCs/>
          <w:sz w:val="32"/>
          <w:szCs w:val="32"/>
        </w:rPr>
      </w:pPr>
      <w:r>
        <w:rPr>
          <w:rFonts w:eastAsia="仿宋"/>
          <w:bCs/>
          <w:sz w:val="32"/>
          <w:szCs w:val="32"/>
        </w:rPr>
        <w:t>8.</w:t>
      </w:r>
      <w:r>
        <w:rPr>
          <w:rFonts w:hint="eastAsia" w:eastAsia="仿宋"/>
          <w:bCs/>
          <w:sz w:val="32"/>
          <w:szCs w:val="32"/>
        </w:rPr>
        <w:t>卫生健康</w:t>
      </w:r>
      <w:r>
        <w:rPr>
          <w:rStyle w:val="14"/>
          <w:rFonts w:hint="eastAsia" w:eastAsia="仿宋"/>
          <w:b w:val="0"/>
          <w:bCs/>
          <w:sz w:val="32"/>
          <w:szCs w:val="32"/>
        </w:rPr>
        <w:t>（类）行政事业</w:t>
      </w:r>
      <w:r>
        <w:rPr>
          <w:rStyle w:val="14"/>
          <w:rFonts w:eastAsia="仿宋"/>
          <w:b w:val="0"/>
          <w:bCs/>
          <w:sz w:val="32"/>
          <w:szCs w:val="32"/>
        </w:rPr>
        <w:t>单位医疗</w:t>
      </w:r>
      <w:r>
        <w:rPr>
          <w:rStyle w:val="14"/>
          <w:rFonts w:hint="eastAsia" w:eastAsia="仿宋"/>
          <w:b w:val="0"/>
          <w:bCs/>
          <w:sz w:val="32"/>
          <w:szCs w:val="32"/>
        </w:rPr>
        <w:t>（款）公务员</w:t>
      </w:r>
      <w:r>
        <w:rPr>
          <w:rStyle w:val="14"/>
          <w:rFonts w:eastAsia="仿宋"/>
          <w:b w:val="0"/>
          <w:bCs/>
          <w:sz w:val="32"/>
          <w:szCs w:val="32"/>
        </w:rPr>
        <w:t>医疗</w:t>
      </w:r>
      <w:r>
        <w:rPr>
          <w:rStyle w:val="14"/>
          <w:rFonts w:hint="eastAsia" w:eastAsia="仿宋"/>
          <w:b w:val="0"/>
          <w:bCs/>
          <w:sz w:val="32"/>
          <w:szCs w:val="32"/>
        </w:rPr>
        <w:t>补助（项）</w:t>
      </w:r>
      <w:r>
        <w:rPr>
          <w:rStyle w:val="14"/>
          <w:rFonts w:eastAsia="仿宋"/>
          <w:b w:val="0"/>
          <w:bCs/>
          <w:sz w:val="32"/>
          <w:szCs w:val="32"/>
        </w:rPr>
        <w:t>:</w:t>
      </w:r>
      <w:r>
        <w:rPr>
          <w:rStyle w:val="14"/>
          <w:rFonts w:hint="eastAsia" w:eastAsia="仿宋"/>
          <w:b w:val="0"/>
          <w:bCs/>
          <w:sz w:val="32"/>
          <w:szCs w:val="32"/>
        </w:rPr>
        <w:t>支出决算为</w:t>
      </w:r>
      <w:r>
        <w:rPr>
          <w:rStyle w:val="14"/>
          <w:rFonts w:eastAsia="仿宋"/>
          <w:b w:val="0"/>
          <w:bCs/>
          <w:sz w:val="32"/>
          <w:szCs w:val="32"/>
        </w:rPr>
        <w:t>7.18</w:t>
      </w:r>
      <w:r>
        <w:rPr>
          <w:rStyle w:val="14"/>
          <w:rFonts w:hint="eastAsia" w:eastAsia="仿宋"/>
          <w:b w:val="0"/>
          <w:bCs/>
          <w:sz w:val="32"/>
          <w:szCs w:val="32"/>
        </w:rPr>
        <w:t>万元，完成预算</w:t>
      </w:r>
      <w:r>
        <w:rPr>
          <w:rStyle w:val="14"/>
          <w:rFonts w:eastAsia="仿宋"/>
          <w:b w:val="0"/>
          <w:bCs/>
          <w:sz w:val="32"/>
          <w:szCs w:val="32"/>
        </w:rPr>
        <w:t>100%</w:t>
      </w:r>
      <w:r>
        <w:rPr>
          <w:rStyle w:val="14"/>
          <w:rFonts w:hint="eastAsia" w:eastAsia="仿宋"/>
          <w:b w:val="0"/>
          <w:bCs/>
          <w:sz w:val="32"/>
          <w:szCs w:val="32"/>
        </w:rPr>
        <w:t>，</w:t>
      </w:r>
      <w:r>
        <w:rPr>
          <w:rStyle w:val="14"/>
          <w:rFonts w:hint="eastAsia" w:eastAsia="仿宋"/>
          <w:b w:val="0"/>
          <w:bCs/>
          <w:color w:val="000000" w:themeColor="text1"/>
          <w:sz w:val="32"/>
          <w:szCs w:val="32"/>
          <w14:textFill>
            <w14:solidFill>
              <w14:schemeClr w14:val="tx1"/>
            </w14:solidFill>
          </w14:textFill>
        </w:rPr>
        <w:t>决算数等于预算数。</w:t>
      </w:r>
      <w:r>
        <w:rPr>
          <w:rFonts w:eastAsia="仿宋"/>
          <w:bCs/>
          <w:sz w:val="32"/>
          <w:szCs w:val="32"/>
        </w:rPr>
        <w:t xml:space="preserve"> </w:t>
      </w:r>
    </w:p>
    <w:p>
      <w:pPr>
        <w:spacing w:line="560" w:lineRule="exact"/>
        <w:ind w:firstLine="640" w:firstLineChars="200"/>
        <w:rPr>
          <w:rStyle w:val="14"/>
          <w:rFonts w:eastAsia="仿宋"/>
          <w:b w:val="0"/>
          <w:bCs/>
          <w:sz w:val="32"/>
          <w:szCs w:val="32"/>
        </w:rPr>
      </w:pPr>
      <w:r>
        <w:rPr>
          <w:rFonts w:eastAsia="仿宋"/>
          <w:bCs/>
          <w:sz w:val="32"/>
          <w:szCs w:val="32"/>
        </w:rPr>
        <w:t>9</w:t>
      </w:r>
      <w:r>
        <w:rPr>
          <w:rFonts w:hint="eastAsia" w:eastAsia="仿宋"/>
          <w:bCs/>
          <w:sz w:val="32"/>
          <w:szCs w:val="32"/>
        </w:rPr>
        <w:t>. 住房保障支出（</w:t>
      </w:r>
      <w:r>
        <w:rPr>
          <w:rFonts w:eastAsia="仿宋"/>
          <w:bCs/>
          <w:sz w:val="32"/>
          <w:szCs w:val="32"/>
        </w:rPr>
        <w:t>类）住房改革支出（款）住房公积金（项</w:t>
      </w:r>
      <w:r>
        <w:rPr>
          <w:rFonts w:hint="eastAsia" w:eastAsia="仿宋"/>
          <w:bCs/>
          <w:sz w:val="32"/>
          <w:szCs w:val="32"/>
        </w:rPr>
        <w:t>）：</w:t>
      </w:r>
      <w:r>
        <w:rPr>
          <w:rStyle w:val="14"/>
          <w:rFonts w:hint="eastAsia" w:eastAsia="仿宋"/>
          <w:b w:val="0"/>
          <w:bCs/>
          <w:sz w:val="32"/>
          <w:szCs w:val="32"/>
        </w:rPr>
        <w:t>支出决算为</w:t>
      </w:r>
      <w:r>
        <w:rPr>
          <w:rStyle w:val="14"/>
          <w:rFonts w:eastAsia="仿宋"/>
          <w:b w:val="0"/>
          <w:bCs/>
          <w:sz w:val="32"/>
          <w:szCs w:val="32"/>
        </w:rPr>
        <w:t>63.06</w:t>
      </w:r>
      <w:r>
        <w:rPr>
          <w:rStyle w:val="14"/>
          <w:rFonts w:hint="eastAsia" w:eastAsia="仿宋"/>
          <w:b w:val="0"/>
          <w:bCs/>
          <w:sz w:val="32"/>
          <w:szCs w:val="32"/>
        </w:rPr>
        <w:t>万元，完成预算</w:t>
      </w:r>
      <w:r>
        <w:rPr>
          <w:rStyle w:val="14"/>
          <w:rFonts w:eastAsia="仿宋"/>
          <w:b w:val="0"/>
          <w:bCs/>
          <w:sz w:val="32"/>
          <w:szCs w:val="32"/>
        </w:rPr>
        <w:t>100%</w:t>
      </w:r>
      <w:r>
        <w:rPr>
          <w:rStyle w:val="14"/>
          <w:rFonts w:hint="eastAsia" w:eastAsia="仿宋"/>
          <w:b w:val="0"/>
          <w:bCs/>
          <w:sz w:val="32"/>
          <w:szCs w:val="32"/>
        </w:rPr>
        <w:t>，决算数等于预算数。</w:t>
      </w:r>
    </w:p>
    <w:p>
      <w:pPr>
        <w:tabs>
          <w:tab w:val="right" w:pos="8306"/>
        </w:tabs>
        <w:spacing w:line="560" w:lineRule="exact"/>
        <w:ind w:firstLine="640"/>
        <w:outlineLvl w:val="1"/>
        <w:rPr>
          <w:rStyle w:val="26"/>
          <w:rFonts w:ascii="Times New Roman" w:hAnsi="Times New Roman"/>
        </w:rPr>
      </w:pPr>
      <w:bookmarkStart w:id="34" w:name="_Toc15377214"/>
      <w:bookmarkStart w:id="35" w:name="_Toc15396608"/>
      <w:r>
        <w:rPr>
          <w:rFonts w:hint="eastAsia" w:eastAsia="黑体"/>
          <w:sz w:val="32"/>
          <w:szCs w:val="32"/>
        </w:rPr>
        <w:t>六</w:t>
      </w:r>
      <w:r>
        <w:rPr>
          <w:rFonts w:hint="eastAsia" w:eastAsia="黑体"/>
          <w:b/>
          <w:sz w:val="32"/>
          <w:szCs w:val="32"/>
        </w:rPr>
        <w:t>、一</w:t>
      </w:r>
      <w:r>
        <w:rPr>
          <w:rStyle w:val="26"/>
          <w:rFonts w:hint="eastAsia" w:ascii="Times New Roman" w:hAnsi="Times New Roman" w:eastAsia="黑体"/>
          <w:b w:val="0"/>
        </w:rPr>
        <w:t>般公共预算财政拨款基本支出决算情况说明</w:t>
      </w:r>
      <w:bookmarkEnd w:id="34"/>
      <w:bookmarkEnd w:id="35"/>
      <w:r>
        <w:rPr>
          <w:rStyle w:val="26"/>
          <w:rFonts w:ascii="Times New Roman" w:hAnsi="Times New Roman" w:eastAsia="黑体"/>
          <w:b w:val="0"/>
        </w:rPr>
        <w:tab/>
      </w:r>
    </w:p>
    <w:p>
      <w:pPr>
        <w:spacing w:line="560" w:lineRule="exact"/>
        <w:ind w:firstLine="645"/>
        <w:rPr>
          <w:rFonts w:eastAsia="仿宋"/>
          <w:sz w:val="32"/>
          <w:szCs w:val="32"/>
        </w:rPr>
      </w:pPr>
      <w:r>
        <w:rPr>
          <w:rFonts w:eastAsia="仿宋"/>
          <w:sz w:val="32"/>
          <w:szCs w:val="32"/>
        </w:rPr>
        <w:t>20</w:t>
      </w:r>
      <w:r>
        <w:rPr>
          <w:rFonts w:hint="eastAsia" w:eastAsia="仿宋"/>
          <w:sz w:val="32"/>
          <w:szCs w:val="32"/>
        </w:rPr>
        <w:t>21年一般公共预算财政拨款基本支出</w:t>
      </w:r>
      <w:r>
        <w:rPr>
          <w:rFonts w:eastAsia="仿宋"/>
          <w:sz w:val="32"/>
          <w:szCs w:val="32"/>
        </w:rPr>
        <w:t>1400.23</w:t>
      </w:r>
      <w:r>
        <w:rPr>
          <w:rFonts w:hint="eastAsia" w:eastAsia="仿宋"/>
          <w:sz w:val="32"/>
          <w:szCs w:val="32"/>
        </w:rPr>
        <w:t>万元，其中：</w:t>
      </w:r>
    </w:p>
    <w:p>
      <w:pPr>
        <w:spacing w:line="560" w:lineRule="exact"/>
        <w:ind w:firstLine="645"/>
        <w:rPr>
          <w:rFonts w:eastAsia="仿宋"/>
          <w:sz w:val="32"/>
          <w:szCs w:val="32"/>
        </w:rPr>
      </w:pPr>
      <w:r>
        <w:rPr>
          <w:rFonts w:hint="eastAsia" w:eastAsia="仿宋"/>
          <w:sz w:val="32"/>
          <w:szCs w:val="32"/>
        </w:rPr>
        <w:t>人员经费</w:t>
      </w:r>
      <w:r>
        <w:rPr>
          <w:rFonts w:eastAsia="仿宋"/>
          <w:sz w:val="32"/>
          <w:szCs w:val="32"/>
        </w:rPr>
        <w:t>1028.31</w:t>
      </w:r>
      <w:r>
        <w:rPr>
          <w:rFonts w:hint="eastAsia" w:eastAsia="仿宋"/>
          <w:sz w:val="32"/>
          <w:szCs w:val="32"/>
        </w:rPr>
        <w:t>万元，主要包括：基本工资、津贴补贴、奖金、机关事业单位基本养老保险缴费、职业年金缴费、职工基本</w:t>
      </w:r>
      <w:r>
        <w:rPr>
          <w:rFonts w:eastAsia="仿宋"/>
          <w:sz w:val="32"/>
          <w:szCs w:val="32"/>
        </w:rPr>
        <w:t>医疗保险缴费、</w:t>
      </w:r>
      <w:r>
        <w:rPr>
          <w:rFonts w:hint="eastAsia" w:eastAsia="仿宋"/>
          <w:sz w:val="32"/>
          <w:szCs w:val="32"/>
        </w:rPr>
        <w:t>公务员医疗</w:t>
      </w:r>
      <w:r>
        <w:rPr>
          <w:rFonts w:eastAsia="仿宋"/>
          <w:sz w:val="32"/>
          <w:szCs w:val="32"/>
        </w:rPr>
        <w:t>补助缴费</w:t>
      </w:r>
      <w:r>
        <w:rPr>
          <w:rFonts w:hint="eastAsia" w:eastAsia="仿宋"/>
          <w:sz w:val="32"/>
          <w:szCs w:val="32"/>
        </w:rPr>
        <w:t>、其他工资福利支出、奖励金、退休</w:t>
      </w:r>
      <w:r>
        <w:rPr>
          <w:rFonts w:eastAsia="仿宋"/>
          <w:sz w:val="32"/>
          <w:szCs w:val="32"/>
        </w:rPr>
        <w:t>费、抚恤金、</w:t>
      </w:r>
      <w:r>
        <w:rPr>
          <w:rFonts w:hint="eastAsia" w:eastAsia="仿宋"/>
          <w:sz w:val="32"/>
          <w:szCs w:val="32"/>
        </w:rPr>
        <w:t>住房公积金、其他对个人和家庭的补助支出等。</w:t>
      </w:r>
      <w:r>
        <w:rPr>
          <w:rFonts w:eastAsia="仿宋"/>
          <w:sz w:val="32"/>
          <w:szCs w:val="32"/>
        </w:rPr>
        <w:br w:type="textWrapping"/>
      </w:r>
      <w:r>
        <w:rPr>
          <w:rFonts w:hint="eastAsia" w:eastAsia="仿宋"/>
          <w:sz w:val="32"/>
          <w:szCs w:val="32"/>
        </w:rPr>
        <w:t>　　公用经费</w:t>
      </w:r>
      <w:r>
        <w:rPr>
          <w:rFonts w:eastAsia="仿宋"/>
          <w:sz w:val="32"/>
          <w:szCs w:val="32"/>
        </w:rPr>
        <w:t>371.92</w:t>
      </w:r>
      <w:r>
        <w:rPr>
          <w:rFonts w:hint="eastAsia" w:eastAsia="仿宋"/>
          <w:sz w:val="32"/>
          <w:szCs w:val="32"/>
        </w:rPr>
        <w:t>万元，主要包括：办公费、印刷费、水费、电费、邮电费、物业管理费、差旅费、维修（护）费、租赁</w:t>
      </w:r>
      <w:r>
        <w:rPr>
          <w:rFonts w:eastAsia="仿宋"/>
          <w:sz w:val="32"/>
          <w:szCs w:val="32"/>
        </w:rPr>
        <w:t>费、</w:t>
      </w:r>
      <w:r>
        <w:rPr>
          <w:rFonts w:hint="eastAsia" w:eastAsia="仿宋"/>
          <w:sz w:val="32"/>
          <w:szCs w:val="32"/>
        </w:rPr>
        <w:t>会议费、公务接待费、劳务费、委托业务费、工会经费、福利费、公务用车运行维护费、其他交通费用、其他商品和服务支出等。</w:t>
      </w:r>
    </w:p>
    <w:p>
      <w:pPr>
        <w:spacing w:line="560" w:lineRule="exact"/>
        <w:ind w:firstLine="640"/>
        <w:outlineLvl w:val="1"/>
        <w:rPr>
          <w:rStyle w:val="26"/>
          <w:rFonts w:ascii="Times New Roman" w:hAnsi="Times New Roman" w:eastAsia="黑体"/>
          <w:b w:val="0"/>
        </w:rPr>
      </w:pPr>
      <w:bookmarkStart w:id="36" w:name="_Toc15377215"/>
      <w:bookmarkStart w:id="37" w:name="_Toc15396609"/>
      <w:r>
        <w:rPr>
          <w:rFonts w:hint="eastAsia" w:eastAsia="黑体"/>
          <w:sz w:val="32"/>
          <w:szCs w:val="32"/>
        </w:rPr>
        <w:t>七、</w:t>
      </w:r>
      <w:r>
        <w:rPr>
          <w:rStyle w:val="26"/>
          <w:rFonts w:hint="eastAsia" w:ascii="Times New Roman" w:hAnsi="Times New Roman" w:eastAsia="黑体"/>
        </w:rPr>
        <w:t>“</w:t>
      </w:r>
      <w:r>
        <w:rPr>
          <w:rStyle w:val="26"/>
          <w:rFonts w:hint="eastAsia" w:ascii="Times New Roman" w:hAnsi="Times New Roman" w:eastAsia="黑体"/>
          <w:b w:val="0"/>
        </w:rPr>
        <w:t>三公”经费财政拨款支出决算情况说明</w:t>
      </w:r>
      <w:bookmarkEnd w:id="36"/>
      <w:bookmarkEnd w:id="37"/>
    </w:p>
    <w:p>
      <w:pPr>
        <w:spacing w:line="560" w:lineRule="exact"/>
        <w:ind w:firstLine="640"/>
        <w:outlineLvl w:val="2"/>
        <w:rPr>
          <w:rFonts w:eastAsia="楷体_GB2312" w:cs="楷体_GB2312"/>
          <w:bCs/>
          <w:sz w:val="32"/>
          <w:szCs w:val="32"/>
        </w:rPr>
      </w:pPr>
      <w:bookmarkStart w:id="38" w:name="_Toc15377216"/>
      <w:r>
        <w:rPr>
          <w:rFonts w:hint="eastAsia" w:eastAsia="楷体_GB2312" w:cs="楷体_GB2312"/>
          <w:bCs/>
          <w:sz w:val="32"/>
          <w:szCs w:val="32"/>
        </w:rPr>
        <w:t>（一）“三公”经费财政拨款支出决算总体情况说明</w:t>
      </w:r>
      <w:bookmarkEnd w:id="38"/>
    </w:p>
    <w:p>
      <w:pPr>
        <w:spacing w:line="560" w:lineRule="exact"/>
        <w:ind w:firstLine="640" w:firstLineChars="200"/>
        <w:rPr>
          <w:rStyle w:val="14"/>
          <w:rFonts w:eastAsia="仿宋"/>
          <w:b w:val="0"/>
          <w:bCs/>
          <w:sz w:val="32"/>
          <w:szCs w:val="32"/>
        </w:rPr>
      </w:pPr>
      <w:r>
        <w:rPr>
          <w:rFonts w:eastAsia="仿宋"/>
          <w:sz w:val="32"/>
          <w:szCs w:val="32"/>
        </w:rPr>
        <w:t>20</w:t>
      </w:r>
      <w:r>
        <w:rPr>
          <w:rFonts w:hint="eastAsia" w:eastAsia="仿宋"/>
          <w:sz w:val="32"/>
          <w:szCs w:val="32"/>
        </w:rPr>
        <w:t>21年“三公”经费财政拨款支出决算为</w:t>
      </w:r>
      <w:r>
        <w:rPr>
          <w:rFonts w:eastAsia="仿宋"/>
          <w:sz w:val="32"/>
          <w:szCs w:val="32"/>
        </w:rPr>
        <w:t>71.84</w:t>
      </w:r>
      <w:r>
        <w:rPr>
          <w:rFonts w:hint="eastAsia" w:eastAsia="仿宋"/>
          <w:sz w:val="32"/>
          <w:szCs w:val="32"/>
        </w:rPr>
        <w:t>万元，完成预算</w:t>
      </w:r>
      <w:r>
        <w:rPr>
          <w:rFonts w:eastAsia="仿宋"/>
          <w:sz w:val="32"/>
          <w:szCs w:val="32"/>
        </w:rPr>
        <w:t>98.41%</w:t>
      </w:r>
      <w:r>
        <w:rPr>
          <w:rFonts w:hint="eastAsia" w:eastAsia="仿宋"/>
          <w:sz w:val="32"/>
          <w:szCs w:val="32"/>
        </w:rPr>
        <w:t>，决算数小于预算数的主要原因是：</w:t>
      </w:r>
      <w:r>
        <w:rPr>
          <w:rStyle w:val="14"/>
          <w:rFonts w:eastAsia="仿宋"/>
          <w:b w:val="0"/>
          <w:bCs/>
          <w:sz w:val="32"/>
          <w:szCs w:val="32"/>
        </w:rPr>
        <w:t>因新冠</w:t>
      </w:r>
      <w:r>
        <w:rPr>
          <w:rStyle w:val="14"/>
          <w:rFonts w:hint="eastAsia" w:eastAsia="仿宋"/>
          <w:b w:val="0"/>
          <w:bCs/>
          <w:sz w:val="32"/>
          <w:szCs w:val="32"/>
        </w:rPr>
        <w:t>肺炎</w:t>
      </w:r>
      <w:r>
        <w:rPr>
          <w:rStyle w:val="14"/>
          <w:rFonts w:eastAsia="仿宋"/>
          <w:b w:val="0"/>
          <w:bCs/>
          <w:sz w:val="32"/>
          <w:szCs w:val="32"/>
        </w:rPr>
        <w:t>疫情，</w:t>
      </w:r>
      <w:r>
        <w:rPr>
          <w:rStyle w:val="14"/>
          <w:rFonts w:hint="eastAsia" w:eastAsia="仿宋"/>
          <w:b w:val="0"/>
          <w:bCs/>
          <w:sz w:val="32"/>
          <w:szCs w:val="32"/>
        </w:rPr>
        <w:t>公务</w:t>
      </w:r>
      <w:r>
        <w:rPr>
          <w:rStyle w:val="14"/>
          <w:rFonts w:eastAsia="仿宋"/>
          <w:b w:val="0"/>
          <w:bCs/>
          <w:sz w:val="32"/>
          <w:szCs w:val="32"/>
        </w:rPr>
        <w:t xml:space="preserve">接待费减少。 </w:t>
      </w:r>
    </w:p>
    <w:p>
      <w:pPr>
        <w:spacing w:line="560" w:lineRule="exact"/>
        <w:ind w:firstLine="640"/>
        <w:outlineLvl w:val="2"/>
        <w:rPr>
          <w:rFonts w:eastAsia="楷体_GB2312" w:cs="楷体_GB2312"/>
          <w:bCs/>
          <w:sz w:val="32"/>
          <w:szCs w:val="32"/>
        </w:rPr>
      </w:pPr>
      <w:bookmarkStart w:id="39" w:name="_Toc15377217"/>
      <w:r>
        <w:rPr>
          <w:rFonts w:hint="eastAsia" w:eastAsia="楷体_GB2312" w:cs="楷体_GB2312"/>
          <w:bCs/>
          <w:sz w:val="32"/>
          <w:szCs w:val="32"/>
        </w:rPr>
        <w:t>（二）“三公”经费财政拨款支出决算具体情况说明</w:t>
      </w:r>
      <w:bookmarkEnd w:id="39"/>
    </w:p>
    <w:p>
      <w:pPr>
        <w:spacing w:line="560" w:lineRule="exact"/>
        <w:ind w:firstLine="640"/>
        <w:rPr>
          <w:rFonts w:eastAsia="仿宋"/>
          <w:sz w:val="32"/>
          <w:szCs w:val="32"/>
        </w:rPr>
      </w:pPr>
      <w:r>
        <w:rPr>
          <w:rFonts w:eastAsia="仿宋"/>
          <w:sz w:val="32"/>
          <w:szCs w:val="32"/>
        </w:rPr>
        <w:t>20</w:t>
      </w:r>
      <w:r>
        <w:rPr>
          <w:rFonts w:hint="eastAsia" w:eastAsia="仿宋"/>
          <w:sz w:val="32"/>
          <w:szCs w:val="32"/>
        </w:rPr>
        <w:t>21年“三公”经费财政拨款支出决算中，因公出国</w:t>
      </w:r>
      <w:r>
        <w:rPr>
          <w:rFonts w:eastAsia="仿宋"/>
          <w:sz w:val="32"/>
          <w:szCs w:val="32"/>
        </w:rPr>
        <w:t>（境</w:t>
      </w:r>
      <w:r>
        <w:rPr>
          <w:rFonts w:hint="eastAsia" w:eastAsia="仿宋"/>
          <w:sz w:val="32"/>
          <w:szCs w:val="32"/>
        </w:rPr>
        <w:t>）</w:t>
      </w:r>
      <w:r>
        <w:rPr>
          <w:rFonts w:eastAsia="仿宋"/>
          <w:sz w:val="32"/>
          <w:szCs w:val="32"/>
        </w:rPr>
        <w:t>费支出决算</w:t>
      </w:r>
      <w:r>
        <w:rPr>
          <w:rFonts w:hint="eastAsia" w:eastAsia="仿宋"/>
          <w:sz w:val="32"/>
          <w:szCs w:val="32"/>
        </w:rPr>
        <w:t>0万元</w:t>
      </w:r>
      <w:r>
        <w:rPr>
          <w:rFonts w:eastAsia="仿宋"/>
          <w:sz w:val="32"/>
          <w:szCs w:val="32"/>
        </w:rPr>
        <w:t>，占</w:t>
      </w:r>
      <w:r>
        <w:rPr>
          <w:rFonts w:hint="eastAsia" w:eastAsia="仿宋"/>
          <w:sz w:val="32"/>
          <w:szCs w:val="32"/>
        </w:rPr>
        <w:t>0</w:t>
      </w:r>
      <w:r>
        <w:rPr>
          <w:rFonts w:eastAsia="仿宋"/>
          <w:sz w:val="32"/>
          <w:szCs w:val="32"/>
        </w:rPr>
        <w:t>%；</w:t>
      </w:r>
      <w:r>
        <w:rPr>
          <w:rFonts w:hint="eastAsia" w:eastAsia="仿宋"/>
          <w:sz w:val="32"/>
          <w:szCs w:val="32"/>
        </w:rPr>
        <w:t>公务用车购置及运行维护费支出决算</w:t>
      </w:r>
      <w:r>
        <w:rPr>
          <w:rFonts w:eastAsia="仿宋"/>
          <w:sz w:val="32"/>
          <w:szCs w:val="32"/>
        </w:rPr>
        <w:t>27.95</w:t>
      </w:r>
      <w:r>
        <w:rPr>
          <w:rFonts w:hint="eastAsia" w:eastAsia="仿宋"/>
          <w:sz w:val="32"/>
          <w:szCs w:val="32"/>
        </w:rPr>
        <w:t>万元，占</w:t>
      </w:r>
      <w:r>
        <w:rPr>
          <w:rFonts w:eastAsia="仿宋"/>
          <w:sz w:val="32"/>
          <w:szCs w:val="32"/>
        </w:rPr>
        <w:t>38.91%</w:t>
      </w:r>
      <w:r>
        <w:rPr>
          <w:rFonts w:hint="eastAsia" w:eastAsia="仿宋"/>
          <w:sz w:val="32"/>
          <w:szCs w:val="32"/>
        </w:rPr>
        <w:t>；公务接待费支出决算</w:t>
      </w:r>
      <w:r>
        <w:rPr>
          <w:rFonts w:eastAsia="仿宋"/>
          <w:sz w:val="32"/>
          <w:szCs w:val="32"/>
        </w:rPr>
        <w:t>43.89</w:t>
      </w:r>
      <w:r>
        <w:rPr>
          <w:rFonts w:hint="eastAsia" w:eastAsia="仿宋"/>
          <w:sz w:val="32"/>
          <w:szCs w:val="32"/>
        </w:rPr>
        <w:t>万元，占61.09</w:t>
      </w:r>
      <w:r>
        <w:rPr>
          <w:rFonts w:eastAsia="仿宋"/>
          <w:sz w:val="32"/>
          <w:szCs w:val="32"/>
        </w:rPr>
        <w:t>%</w:t>
      </w:r>
      <w:r>
        <w:rPr>
          <w:rFonts w:hint="eastAsia" w:eastAsia="仿宋"/>
          <w:sz w:val="32"/>
          <w:szCs w:val="32"/>
        </w:rPr>
        <w:t>。具体情况如下：</w:t>
      </w:r>
    </w:p>
    <w:p>
      <w:pPr>
        <w:pStyle w:val="2"/>
        <w:spacing w:beforeLines="0" w:line="560" w:lineRule="exact"/>
        <w:rPr>
          <w:rFonts w:ascii="Times New Roman"/>
        </w:rPr>
      </w:pPr>
      <w:r>
        <w:rPr>
          <w:rFonts w:hint="eastAsia" w:ascii="Times New Roman"/>
        </w:rPr>
        <w:drawing>
          <wp:anchor distT="0" distB="0" distL="114300" distR="114300" simplePos="0" relativeHeight="251661312" behindDoc="0" locked="0" layoutInCell="1" allowOverlap="1">
            <wp:simplePos x="0" y="0"/>
            <wp:positionH relativeFrom="column">
              <wp:posOffset>335280</wp:posOffset>
            </wp:positionH>
            <wp:positionV relativeFrom="paragraph">
              <wp:posOffset>41275</wp:posOffset>
            </wp:positionV>
            <wp:extent cx="4725670" cy="2435860"/>
            <wp:effectExtent l="0" t="0" r="18415" b="254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pStyle w:val="2"/>
        <w:spacing w:beforeLines="0" w:line="560" w:lineRule="exact"/>
        <w:rPr>
          <w:rFonts w:ascii="Times New Roman"/>
        </w:rPr>
      </w:pPr>
    </w:p>
    <w:p>
      <w:pPr>
        <w:pStyle w:val="2"/>
        <w:spacing w:beforeLines="0" w:line="560" w:lineRule="exact"/>
        <w:jc w:val="right"/>
        <w:rPr>
          <w:rFonts w:ascii="Times New Roman"/>
        </w:rPr>
      </w:pPr>
    </w:p>
    <w:p>
      <w:pPr>
        <w:pStyle w:val="2"/>
        <w:spacing w:beforeLines="0" w:line="560" w:lineRule="exact"/>
        <w:rPr>
          <w:rFonts w:ascii="Times New Roman"/>
        </w:rPr>
      </w:pPr>
    </w:p>
    <w:p>
      <w:pPr>
        <w:pStyle w:val="2"/>
        <w:spacing w:beforeLines="0" w:line="560" w:lineRule="exact"/>
        <w:rPr>
          <w:rFonts w:ascii="Times New Roman"/>
        </w:rPr>
      </w:pPr>
    </w:p>
    <w:p>
      <w:pPr>
        <w:pStyle w:val="2"/>
        <w:spacing w:beforeLines="0" w:line="560" w:lineRule="exact"/>
        <w:rPr>
          <w:rFonts w:ascii="Times New Roman"/>
        </w:rPr>
      </w:pPr>
    </w:p>
    <w:p>
      <w:pPr>
        <w:spacing w:line="560" w:lineRule="exact"/>
        <w:ind w:firstLine="640"/>
        <w:rPr>
          <w:rFonts w:eastAsia="仿宋"/>
          <w:sz w:val="32"/>
          <w:szCs w:val="32"/>
        </w:rPr>
      </w:pPr>
    </w:p>
    <w:p>
      <w:pPr>
        <w:spacing w:line="560" w:lineRule="exact"/>
        <w:ind w:firstLine="640"/>
        <w:rPr>
          <w:rFonts w:hint="eastAsia" w:eastAsia="仿宋"/>
          <w:sz w:val="32"/>
          <w:szCs w:val="32"/>
        </w:rPr>
      </w:pPr>
      <w:r>
        <w:rPr>
          <w:rFonts w:eastAsia="仿宋"/>
          <w:sz w:val="32"/>
          <w:szCs w:val="32"/>
        </w:rPr>
        <w:t>1.</w:t>
      </w:r>
      <w:r>
        <w:rPr>
          <w:rFonts w:hint="eastAsia" w:eastAsia="仿宋"/>
          <w:sz w:val="32"/>
          <w:szCs w:val="32"/>
        </w:rPr>
        <w:t>因公出国（境）经费支出</w:t>
      </w:r>
      <w:r>
        <w:rPr>
          <w:rFonts w:eastAsia="仿宋"/>
          <w:sz w:val="32"/>
          <w:szCs w:val="32"/>
        </w:rPr>
        <w:t>0</w:t>
      </w:r>
      <w:r>
        <w:rPr>
          <w:rFonts w:hint="eastAsia" w:eastAsia="仿宋"/>
          <w:sz w:val="32"/>
          <w:szCs w:val="32"/>
        </w:rPr>
        <w:t>万元，完成预算</w:t>
      </w:r>
      <w:r>
        <w:rPr>
          <w:rFonts w:eastAsia="仿宋"/>
          <w:sz w:val="32"/>
          <w:szCs w:val="32"/>
        </w:rPr>
        <w:t>0%</w:t>
      </w:r>
      <w:r>
        <w:rPr>
          <w:rFonts w:hint="eastAsia" w:eastAsia="仿宋"/>
          <w:sz w:val="32"/>
          <w:szCs w:val="32"/>
        </w:rPr>
        <w:t>。全年安排因公出国（境）团组</w:t>
      </w:r>
      <w:r>
        <w:rPr>
          <w:rFonts w:eastAsia="仿宋"/>
          <w:sz w:val="32"/>
          <w:szCs w:val="32"/>
        </w:rPr>
        <w:t>0</w:t>
      </w:r>
      <w:r>
        <w:rPr>
          <w:rFonts w:hint="eastAsia" w:eastAsia="仿宋"/>
          <w:sz w:val="32"/>
          <w:szCs w:val="32"/>
        </w:rPr>
        <w:t>次，出国（境）</w:t>
      </w:r>
      <w:r>
        <w:rPr>
          <w:rFonts w:eastAsia="仿宋"/>
          <w:sz w:val="32"/>
          <w:szCs w:val="32"/>
        </w:rPr>
        <w:t>0</w:t>
      </w:r>
      <w:r>
        <w:rPr>
          <w:rFonts w:hint="eastAsia" w:eastAsia="仿宋"/>
          <w:sz w:val="32"/>
          <w:szCs w:val="32"/>
        </w:rPr>
        <w:t>人。因公出国（境）支出</w:t>
      </w:r>
      <w:r>
        <w:rPr>
          <w:rFonts w:eastAsia="仿宋"/>
          <w:sz w:val="32"/>
          <w:szCs w:val="32"/>
        </w:rPr>
        <w:t>决算比</w:t>
      </w:r>
      <w:r>
        <w:rPr>
          <w:rFonts w:hint="eastAsia" w:eastAsia="仿宋"/>
          <w:sz w:val="32"/>
          <w:szCs w:val="32"/>
        </w:rPr>
        <w:t>2020年</w:t>
      </w:r>
      <w:r>
        <w:rPr>
          <w:rFonts w:eastAsia="仿宋"/>
          <w:sz w:val="32"/>
          <w:szCs w:val="32"/>
        </w:rPr>
        <w:t>增加</w:t>
      </w:r>
      <w:r>
        <w:rPr>
          <w:rFonts w:hint="eastAsia" w:eastAsia="仿宋"/>
          <w:sz w:val="32"/>
          <w:szCs w:val="32"/>
        </w:rPr>
        <w:t>0万</w:t>
      </w:r>
      <w:r>
        <w:rPr>
          <w:rFonts w:eastAsia="仿宋"/>
          <w:sz w:val="32"/>
          <w:szCs w:val="32"/>
        </w:rPr>
        <w:t>元。</w:t>
      </w:r>
    </w:p>
    <w:p>
      <w:pPr>
        <w:spacing w:line="560" w:lineRule="exact"/>
        <w:ind w:firstLine="640"/>
        <w:rPr>
          <w:rFonts w:eastAsia="仿宋"/>
          <w:sz w:val="32"/>
          <w:szCs w:val="32"/>
        </w:rPr>
      </w:pPr>
      <w:r>
        <w:rPr>
          <w:rFonts w:eastAsia="仿宋"/>
          <w:sz w:val="32"/>
          <w:szCs w:val="32"/>
        </w:rPr>
        <w:t>2.</w:t>
      </w:r>
      <w:r>
        <w:rPr>
          <w:rFonts w:hint="eastAsia" w:eastAsia="仿宋"/>
          <w:sz w:val="32"/>
          <w:szCs w:val="32"/>
        </w:rPr>
        <w:t>公务用车购置及运行维护费支出</w:t>
      </w:r>
      <w:r>
        <w:rPr>
          <w:rFonts w:eastAsia="仿宋"/>
          <w:sz w:val="32"/>
          <w:szCs w:val="32"/>
        </w:rPr>
        <w:t>27.95</w:t>
      </w:r>
      <w:r>
        <w:rPr>
          <w:rFonts w:hint="eastAsia" w:eastAsia="仿宋"/>
          <w:sz w:val="32"/>
          <w:szCs w:val="32"/>
        </w:rPr>
        <w:t>万元,完成预算</w:t>
      </w:r>
      <w:r>
        <w:rPr>
          <w:rFonts w:eastAsia="仿宋"/>
          <w:sz w:val="32"/>
          <w:szCs w:val="32"/>
        </w:rPr>
        <w:t>99.82%</w:t>
      </w:r>
      <w:r>
        <w:rPr>
          <w:rFonts w:hint="eastAsia" w:eastAsia="仿宋"/>
          <w:sz w:val="32"/>
          <w:szCs w:val="32"/>
        </w:rPr>
        <w:t>。公务用车购置及运行维护费支出决算比</w:t>
      </w:r>
      <w:r>
        <w:rPr>
          <w:rFonts w:eastAsia="仿宋"/>
          <w:sz w:val="32"/>
          <w:szCs w:val="32"/>
        </w:rPr>
        <w:t>2020</w:t>
      </w:r>
      <w:r>
        <w:rPr>
          <w:rFonts w:hint="eastAsia" w:eastAsia="仿宋"/>
          <w:sz w:val="32"/>
          <w:szCs w:val="32"/>
        </w:rPr>
        <w:t>年减少</w:t>
      </w:r>
      <w:r>
        <w:rPr>
          <w:rFonts w:eastAsia="仿宋"/>
          <w:sz w:val="32"/>
          <w:szCs w:val="32"/>
        </w:rPr>
        <w:t>6.99</w:t>
      </w:r>
      <w:r>
        <w:rPr>
          <w:rFonts w:hint="eastAsia" w:eastAsia="仿宋"/>
          <w:sz w:val="32"/>
          <w:szCs w:val="32"/>
        </w:rPr>
        <w:t>万元，下降</w:t>
      </w:r>
      <w:r>
        <w:rPr>
          <w:rFonts w:eastAsia="仿宋"/>
          <w:sz w:val="32"/>
          <w:szCs w:val="32"/>
        </w:rPr>
        <w:t>20.01%</w:t>
      </w:r>
      <w:r>
        <w:rPr>
          <w:rFonts w:hint="eastAsia" w:eastAsia="仿宋"/>
          <w:sz w:val="32"/>
          <w:szCs w:val="32"/>
        </w:rPr>
        <w:t>。主要原因是：</w:t>
      </w:r>
      <w:r>
        <w:rPr>
          <w:rFonts w:eastAsia="仿宋"/>
          <w:sz w:val="32"/>
          <w:szCs w:val="32"/>
        </w:rPr>
        <w:t>厉</w:t>
      </w:r>
      <w:r>
        <w:rPr>
          <w:rFonts w:hint="eastAsia" w:eastAsia="仿宋"/>
          <w:sz w:val="32"/>
          <w:szCs w:val="32"/>
        </w:rPr>
        <w:t>行</w:t>
      </w:r>
      <w:r>
        <w:rPr>
          <w:rFonts w:eastAsia="仿宋"/>
          <w:sz w:val="32"/>
          <w:szCs w:val="32"/>
        </w:rPr>
        <w:t>节约减少</w:t>
      </w:r>
      <w:r>
        <w:rPr>
          <w:rFonts w:hint="eastAsia" w:eastAsia="仿宋"/>
          <w:sz w:val="32"/>
          <w:szCs w:val="32"/>
        </w:rPr>
        <w:t>三公经费。</w:t>
      </w:r>
    </w:p>
    <w:p>
      <w:pPr>
        <w:spacing w:line="560" w:lineRule="exact"/>
        <w:ind w:firstLine="640"/>
        <w:rPr>
          <w:rFonts w:eastAsia="仿宋_GB2312"/>
          <w:sz w:val="32"/>
          <w:szCs w:val="32"/>
        </w:rPr>
      </w:pPr>
      <w:r>
        <w:rPr>
          <w:rFonts w:hint="eastAsia" w:eastAsia="仿宋"/>
          <w:sz w:val="32"/>
          <w:szCs w:val="32"/>
        </w:rPr>
        <w:t>其中</w:t>
      </w:r>
      <w:r>
        <w:rPr>
          <w:rFonts w:eastAsia="仿宋"/>
          <w:sz w:val="32"/>
          <w:szCs w:val="32"/>
        </w:rPr>
        <w:t>：</w:t>
      </w:r>
      <w:r>
        <w:rPr>
          <w:rFonts w:hint="eastAsia" w:eastAsia="仿宋"/>
          <w:sz w:val="32"/>
          <w:szCs w:val="32"/>
        </w:rPr>
        <w:t>公务</w:t>
      </w:r>
      <w:r>
        <w:rPr>
          <w:rFonts w:eastAsia="仿宋"/>
          <w:sz w:val="32"/>
          <w:szCs w:val="32"/>
        </w:rPr>
        <w:t>用车购置支出</w:t>
      </w:r>
      <w:r>
        <w:rPr>
          <w:rFonts w:hint="eastAsia" w:eastAsia="仿宋"/>
          <w:sz w:val="32"/>
          <w:szCs w:val="32"/>
        </w:rPr>
        <w:t>0万</w:t>
      </w:r>
      <w:r>
        <w:rPr>
          <w:rFonts w:eastAsia="仿宋"/>
          <w:sz w:val="32"/>
          <w:szCs w:val="32"/>
        </w:rPr>
        <w:t>元</w:t>
      </w:r>
      <w:r>
        <w:rPr>
          <w:rFonts w:hint="eastAsia" w:eastAsia="仿宋"/>
          <w:sz w:val="32"/>
          <w:szCs w:val="32"/>
        </w:rPr>
        <w:t>。</w:t>
      </w:r>
      <w:r>
        <w:rPr>
          <w:rFonts w:hint="eastAsia" w:eastAsia="仿宋_GB2312"/>
          <w:sz w:val="32"/>
          <w:szCs w:val="32"/>
        </w:rPr>
        <w:t>截止2021年12月</w:t>
      </w:r>
      <w:r>
        <w:rPr>
          <w:rFonts w:eastAsia="仿宋_GB2312"/>
          <w:sz w:val="32"/>
          <w:szCs w:val="32"/>
        </w:rPr>
        <w:t>底，单位共有</w:t>
      </w:r>
      <w:r>
        <w:rPr>
          <w:rFonts w:hint="eastAsia" w:eastAsia="仿宋_GB2312"/>
          <w:sz w:val="32"/>
          <w:szCs w:val="32"/>
        </w:rPr>
        <w:t>公务用车8辆，</w:t>
      </w:r>
      <w:r>
        <w:rPr>
          <w:rFonts w:eastAsia="仿宋_GB2312"/>
          <w:sz w:val="32"/>
          <w:szCs w:val="32"/>
        </w:rPr>
        <w:t>其中：</w:t>
      </w:r>
      <w:r>
        <w:rPr>
          <w:rFonts w:hint="eastAsia" w:eastAsia="仿宋_GB2312"/>
          <w:sz w:val="32"/>
          <w:szCs w:val="32"/>
        </w:rPr>
        <w:t>轿车7辆</w:t>
      </w:r>
      <w:r>
        <w:rPr>
          <w:rFonts w:eastAsia="仿宋_GB2312"/>
          <w:sz w:val="32"/>
          <w:szCs w:val="32"/>
        </w:rPr>
        <w:t>，载客汽车</w:t>
      </w:r>
      <w:r>
        <w:rPr>
          <w:rFonts w:hint="eastAsia" w:eastAsia="仿宋_GB2312"/>
          <w:sz w:val="32"/>
          <w:szCs w:val="32"/>
        </w:rPr>
        <w:t>1辆</w:t>
      </w:r>
      <w:r>
        <w:rPr>
          <w:rFonts w:eastAsia="仿宋_GB2312"/>
          <w:sz w:val="32"/>
          <w:szCs w:val="32"/>
        </w:rPr>
        <w:t>。</w:t>
      </w:r>
    </w:p>
    <w:p>
      <w:pPr>
        <w:spacing w:line="560" w:lineRule="exact"/>
        <w:ind w:firstLine="640"/>
        <w:rPr>
          <w:rFonts w:eastAsia="仿宋"/>
          <w:sz w:val="32"/>
          <w:szCs w:val="32"/>
        </w:rPr>
      </w:pPr>
      <w:r>
        <w:rPr>
          <w:rFonts w:hint="eastAsia" w:eastAsia="仿宋"/>
          <w:sz w:val="32"/>
          <w:szCs w:val="32"/>
        </w:rPr>
        <w:t>公务用车运行维护费支出</w:t>
      </w:r>
      <w:r>
        <w:rPr>
          <w:rFonts w:eastAsia="仿宋"/>
          <w:sz w:val="32"/>
          <w:szCs w:val="32"/>
        </w:rPr>
        <w:t>27.95</w:t>
      </w:r>
      <w:r>
        <w:rPr>
          <w:rFonts w:hint="eastAsia" w:eastAsia="仿宋"/>
          <w:sz w:val="32"/>
          <w:szCs w:val="32"/>
        </w:rPr>
        <w:t>万元。主要用于</w:t>
      </w:r>
      <w:r>
        <w:rPr>
          <w:rFonts w:eastAsia="仿宋"/>
          <w:sz w:val="32"/>
          <w:szCs w:val="32"/>
        </w:rPr>
        <w:t>招商引资、农民</w:t>
      </w:r>
      <w:r>
        <w:rPr>
          <w:rFonts w:hint="eastAsia" w:eastAsia="仿宋"/>
          <w:sz w:val="32"/>
          <w:szCs w:val="32"/>
        </w:rPr>
        <w:t>工</w:t>
      </w:r>
      <w:r>
        <w:rPr>
          <w:rFonts w:eastAsia="仿宋"/>
          <w:sz w:val="32"/>
          <w:szCs w:val="32"/>
        </w:rPr>
        <w:t>服务保障、政务接待</w:t>
      </w:r>
      <w:r>
        <w:rPr>
          <w:rFonts w:hint="eastAsia" w:eastAsia="仿宋"/>
          <w:sz w:val="32"/>
          <w:szCs w:val="32"/>
        </w:rPr>
        <w:t>等所需的公务用车燃料费、维修费、过路过桥费、保险费等支出。</w:t>
      </w:r>
    </w:p>
    <w:p>
      <w:pPr>
        <w:spacing w:line="560" w:lineRule="exact"/>
        <w:ind w:firstLine="640"/>
        <w:rPr>
          <w:rFonts w:eastAsia="仿宋"/>
          <w:sz w:val="32"/>
          <w:szCs w:val="32"/>
        </w:rPr>
      </w:pPr>
      <w:r>
        <w:rPr>
          <w:rFonts w:eastAsia="仿宋"/>
          <w:sz w:val="32"/>
          <w:szCs w:val="32"/>
        </w:rPr>
        <w:t>3.</w:t>
      </w:r>
      <w:r>
        <w:rPr>
          <w:rFonts w:hint="eastAsia" w:eastAsia="仿宋"/>
          <w:sz w:val="32"/>
          <w:szCs w:val="32"/>
        </w:rPr>
        <w:t>公务接待费支出</w:t>
      </w:r>
      <w:r>
        <w:rPr>
          <w:rFonts w:eastAsia="仿宋"/>
          <w:sz w:val="32"/>
          <w:szCs w:val="32"/>
        </w:rPr>
        <w:t>43.89</w:t>
      </w:r>
      <w:r>
        <w:rPr>
          <w:rFonts w:hint="eastAsia" w:eastAsia="仿宋"/>
          <w:sz w:val="32"/>
          <w:szCs w:val="32"/>
        </w:rPr>
        <w:t>万元，完成预算</w:t>
      </w:r>
      <w:r>
        <w:rPr>
          <w:rFonts w:eastAsia="仿宋"/>
          <w:sz w:val="32"/>
          <w:szCs w:val="32"/>
        </w:rPr>
        <w:t>97.53%</w:t>
      </w:r>
      <w:r>
        <w:rPr>
          <w:rFonts w:hint="eastAsia" w:eastAsia="仿宋"/>
          <w:sz w:val="32"/>
          <w:szCs w:val="32"/>
        </w:rPr>
        <w:t>。公务接待费支出决算比</w:t>
      </w:r>
      <w:r>
        <w:rPr>
          <w:rFonts w:eastAsia="仿宋"/>
          <w:sz w:val="32"/>
          <w:szCs w:val="32"/>
        </w:rPr>
        <w:t>2020</w:t>
      </w:r>
      <w:r>
        <w:rPr>
          <w:rFonts w:hint="eastAsia" w:eastAsia="仿宋"/>
          <w:sz w:val="32"/>
          <w:szCs w:val="32"/>
        </w:rPr>
        <w:t>年增加1.8万元，增长</w:t>
      </w:r>
      <w:r>
        <w:rPr>
          <w:rFonts w:eastAsia="仿宋"/>
          <w:sz w:val="32"/>
          <w:szCs w:val="32"/>
        </w:rPr>
        <w:t>4.28%</w:t>
      </w:r>
      <w:r>
        <w:rPr>
          <w:rFonts w:hint="eastAsia" w:eastAsia="仿宋"/>
          <w:sz w:val="32"/>
          <w:szCs w:val="32"/>
        </w:rPr>
        <w:t>。主要原因是</w:t>
      </w:r>
      <w:r>
        <w:rPr>
          <w:rFonts w:eastAsia="仿宋"/>
          <w:sz w:val="32"/>
          <w:szCs w:val="32"/>
        </w:rPr>
        <w:t>：</w:t>
      </w:r>
      <w:r>
        <w:rPr>
          <w:rFonts w:hint="eastAsia" w:eastAsia="仿宋"/>
          <w:sz w:val="32"/>
          <w:szCs w:val="32"/>
        </w:rPr>
        <w:t>接待</w:t>
      </w:r>
      <w:r>
        <w:rPr>
          <w:rFonts w:eastAsia="仿宋"/>
          <w:sz w:val="32"/>
          <w:szCs w:val="32"/>
        </w:rPr>
        <w:t>批次及接待人数增加</w:t>
      </w:r>
      <w:r>
        <w:rPr>
          <w:rFonts w:hint="eastAsia" w:eastAsia="仿宋"/>
          <w:sz w:val="32"/>
          <w:szCs w:val="32"/>
        </w:rPr>
        <w:t>。其中：</w:t>
      </w:r>
    </w:p>
    <w:p>
      <w:pPr>
        <w:spacing w:line="560" w:lineRule="exact"/>
        <w:ind w:firstLine="640"/>
        <w:rPr>
          <w:rFonts w:eastAsia="仿宋"/>
          <w:sz w:val="32"/>
          <w:szCs w:val="32"/>
        </w:rPr>
      </w:pPr>
      <w:r>
        <w:rPr>
          <w:rFonts w:hint="eastAsia" w:eastAsia="仿宋"/>
          <w:sz w:val="32"/>
          <w:szCs w:val="32"/>
        </w:rPr>
        <w:t>国内公务接待支出</w:t>
      </w:r>
      <w:r>
        <w:rPr>
          <w:rFonts w:eastAsia="仿宋"/>
          <w:sz w:val="32"/>
          <w:szCs w:val="32"/>
        </w:rPr>
        <w:t>43.89</w:t>
      </w:r>
      <w:r>
        <w:rPr>
          <w:rFonts w:hint="eastAsia" w:eastAsia="仿宋"/>
          <w:sz w:val="32"/>
          <w:szCs w:val="32"/>
        </w:rPr>
        <w:t>万元，主要用于开展招商</w:t>
      </w:r>
      <w:r>
        <w:rPr>
          <w:rFonts w:eastAsia="仿宋"/>
          <w:sz w:val="32"/>
          <w:szCs w:val="32"/>
        </w:rPr>
        <w:t>引资、农民工服务保障、政务</w:t>
      </w:r>
      <w:r>
        <w:rPr>
          <w:rFonts w:hint="eastAsia" w:eastAsia="仿宋"/>
          <w:sz w:val="32"/>
          <w:szCs w:val="32"/>
        </w:rPr>
        <w:t>活动开支的用餐费等。国内公务接待</w:t>
      </w:r>
      <w:r>
        <w:rPr>
          <w:rFonts w:eastAsia="仿宋"/>
          <w:sz w:val="32"/>
          <w:szCs w:val="32"/>
        </w:rPr>
        <w:t>152</w:t>
      </w:r>
      <w:r>
        <w:rPr>
          <w:rFonts w:hint="eastAsia" w:eastAsia="仿宋"/>
          <w:sz w:val="32"/>
          <w:szCs w:val="32"/>
        </w:rPr>
        <w:t>批次，</w:t>
      </w:r>
      <w:r>
        <w:rPr>
          <w:rFonts w:eastAsia="仿宋"/>
          <w:sz w:val="32"/>
          <w:szCs w:val="32"/>
        </w:rPr>
        <w:t>1289</w:t>
      </w:r>
      <w:r>
        <w:rPr>
          <w:rFonts w:hint="eastAsia" w:eastAsia="仿宋"/>
          <w:sz w:val="32"/>
          <w:szCs w:val="32"/>
        </w:rPr>
        <w:t>人次（不包括陪同人员），共计支出</w:t>
      </w:r>
      <w:r>
        <w:rPr>
          <w:rFonts w:eastAsia="仿宋"/>
          <w:sz w:val="32"/>
          <w:szCs w:val="32"/>
        </w:rPr>
        <w:t>43.89</w:t>
      </w:r>
      <w:r>
        <w:rPr>
          <w:rFonts w:hint="eastAsia" w:eastAsia="仿宋"/>
          <w:sz w:val="32"/>
          <w:szCs w:val="32"/>
        </w:rPr>
        <w:t>万元，具体内容包括：举办2021年中外企业四川行、节能环保</w:t>
      </w:r>
      <w:r>
        <w:rPr>
          <w:rFonts w:eastAsia="仿宋"/>
          <w:sz w:val="32"/>
          <w:szCs w:val="32"/>
        </w:rPr>
        <w:t>产业、现代服务业合作交流对接会</w:t>
      </w:r>
      <w:r>
        <w:rPr>
          <w:rFonts w:hint="eastAsia" w:eastAsia="仿宋"/>
          <w:sz w:val="32"/>
          <w:szCs w:val="32"/>
        </w:rPr>
        <w:t>等系列重大投资促进活动，以及川商返乡日常开展投资促进活动的客商接待。</w:t>
      </w:r>
    </w:p>
    <w:p>
      <w:pPr>
        <w:spacing w:line="560" w:lineRule="exact"/>
        <w:ind w:firstLine="640"/>
        <w:outlineLvl w:val="1"/>
        <w:rPr>
          <w:rStyle w:val="26"/>
          <w:rFonts w:ascii="Times New Roman" w:hAnsi="Times New Roman" w:eastAsia="黑体"/>
        </w:rPr>
      </w:pPr>
      <w:bookmarkStart w:id="40" w:name="_Toc15396610"/>
      <w:bookmarkStart w:id="41" w:name="_Toc15377218"/>
      <w:r>
        <w:rPr>
          <w:rFonts w:hint="eastAsia" w:eastAsia="黑体"/>
          <w:sz w:val="32"/>
          <w:szCs w:val="32"/>
        </w:rPr>
        <w:t>八、</w:t>
      </w:r>
      <w:r>
        <w:rPr>
          <w:rStyle w:val="26"/>
          <w:rFonts w:hint="eastAsia" w:ascii="Times New Roman" w:hAnsi="Times New Roman" w:eastAsia="黑体"/>
          <w:b w:val="0"/>
        </w:rPr>
        <w:t>政府性基金预算支出决算情况说明</w:t>
      </w:r>
      <w:bookmarkEnd w:id="40"/>
      <w:bookmarkEnd w:id="41"/>
    </w:p>
    <w:p>
      <w:pPr>
        <w:spacing w:line="560" w:lineRule="exact"/>
        <w:ind w:firstLine="640"/>
        <w:rPr>
          <w:rFonts w:eastAsia="仿宋_GB2312"/>
          <w:sz w:val="32"/>
          <w:szCs w:val="32"/>
        </w:rPr>
      </w:pPr>
      <w:r>
        <w:rPr>
          <w:rFonts w:eastAsia="仿宋_GB2312"/>
          <w:sz w:val="32"/>
          <w:szCs w:val="32"/>
        </w:rPr>
        <w:t>20</w:t>
      </w:r>
      <w:r>
        <w:rPr>
          <w:rFonts w:hint="eastAsia" w:eastAsia="仿宋_GB2312"/>
          <w:sz w:val="32"/>
          <w:szCs w:val="32"/>
        </w:rPr>
        <w:t>21年政府性基金预算财政拨款支出</w:t>
      </w:r>
      <w:r>
        <w:rPr>
          <w:rFonts w:eastAsia="仿宋_GB2312"/>
          <w:sz w:val="32"/>
          <w:szCs w:val="32"/>
        </w:rPr>
        <w:t>0</w:t>
      </w:r>
      <w:r>
        <w:rPr>
          <w:rFonts w:hint="eastAsia" w:eastAsia="仿宋_GB2312"/>
          <w:sz w:val="32"/>
          <w:szCs w:val="32"/>
        </w:rPr>
        <w:t>万元。</w:t>
      </w:r>
    </w:p>
    <w:p>
      <w:pPr>
        <w:numPr>
          <w:ilvl w:val="0"/>
          <w:numId w:val="1"/>
        </w:numPr>
        <w:spacing w:line="560" w:lineRule="exact"/>
        <w:ind w:firstLine="640"/>
        <w:outlineLvl w:val="1"/>
        <w:rPr>
          <w:rStyle w:val="26"/>
          <w:rFonts w:ascii="Times New Roman" w:hAnsi="Times New Roman" w:eastAsia="黑体"/>
          <w:b w:val="0"/>
        </w:rPr>
      </w:pPr>
      <w:bookmarkStart w:id="42" w:name="_Toc15377219"/>
      <w:bookmarkStart w:id="43" w:name="_Toc15396611"/>
      <w:r>
        <w:rPr>
          <w:rStyle w:val="26"/>
          <w:rFonts w:hint="eastAsia" w:ascii="Times New Roman" w:hAnsi="Times New Roman" w:eastAsia="黑体"/>
          <w:b w:val="0"/>
        </w:rPr>
        <w:t>国有资本经营预算支出决算情况说明</w:t>
      </w:r>
      <w:bookmarkEnd w:id="42"/>
      <w:bookmarkEnd w:id="43"/>
    </w:p>
    <w:p>
      <w:pPr>
        <w:spacing w:line="560" w:lineRule="exact"/>
        <w:ind w:firstLine="640"/>
        <w:rPr>
          <w:rFonts w:eastAsia="仿宋_GB2312"/>
          <w:sz w:val="32"/>
          <w:szCs w:val="32"/>
        </w:rPr>
      </w:pPr>
      <w:r>
        <w:rPr>
          <w:rFonts w:eastAsia="仿宋_GB2312"/>
          <w:sz w:val="32"/>
          <w:szCs w:val="32"/>
        </w:rPr>
        <w:t>20</w:t>
      </w:r>
      <w:r>
        <w:rPr>
          <w:rFonts w:hint="eastAsia" w:eastAsia="仿宋_GB2312"/>
          <w:sz w:val="32"/>
          <w:szCs w:val="32"/>
        </w:rPr>
        <w:t>21年国有资本经营预算财政拨款支出</w:t>
      </w:r>
      <w:r>
        <w:rPr>
          <w:rFonts w:eastAsia="仿宋_GB2312"/>
          <w:sz w:val="32"/>
          <w:szCs w:val="32"/>
        </w:rPr>
        <w:t>0</w:t>
      </w:r>
      <w:r>
        <w:rPr>
          <w:rFonts w:hint="eastAsia" w:eastAsia="仿宋_GB2312"/>
          <w:sz w:val="32"/>
          <w:szCs w:val="32"/>
        </w:rPr>
        <w:t>万元。</w:t>
      </w:r>
    </w:p>
    <w:p>
      <w:pPr>
        <w:numPr>
          <w:ilvl w:val="0"/>
          <w:numId w:val="1"/>
        </w:numPr>
        <w:spacing w:line="560" w:lineRule="exact"/>
        <w:ind w:firstLine="640"/>
        <w:outlineLvl w:val="1"/>
        <w:rPr>
          <w:rStyle w:val="26"/>
          <w:rFonts w:ascii="Times New Roman" w:hAnsi="Times New Roman" w:eastAsia="黑体"/>
          <w:b w:val="0"/>
        </w:rPr>
      </w:pPr>
      <w:bookmarkStart w:id="44" w:name="_Toc15396612"/>
      <w:bookmarkStart w:id="45" w:name="_Toc15377221"/>
      <w:r>
        <w:rPr>
          <w:rStyle w:val="26"/>
          <w:rFonts w:hint="eastAsia" w:ascii="Times New Roman" w:hAnsi="Times New Roman" w:eastAsia="黑体"/>
          <w:b w:val="0"/>
        </w:rPr>
        <w:t>其他重要事项的情况说明</w:t>
      </w:r>
      <w:bookmarkEnd w:id="44"/>
      <w:bookmarkEnd w:id="45"/>
    </w:p>
    <w:p>
      <w:pPr>
        <w:spacing w:line="560" w:lineRule="exact"/>
        <w:ind w:firstLine="640"/>
        <w:outlineLvl w:val="2"/>
        <w:rPr>
          <w:rFonts w:eastAsia="楷体_GB2312" w:cs="楷体_GB2312"/>
          <w:bCs/>
          <w:sz w:val="32"/>
          <w:szCs w:val="32"/>
        </w:rPr>
      </w:pPr>
      <w:bookmarkStart w:id="46" w:name="_Toc15377222"/>
      <w:r>
        <w:rPr>
          <w:rFonts w:hint="eastAsia" w:eastAsia="楷体_GB2312" w:cs="楷体_GB2312"/>
          <w:bCs/>
          <w:sz w:val="32"/>
          <w:szCs w:val="32"/>
        </w:rPr>
        <w:t>（一）机关运行经费支出情况</w:t>
      </w:r>
      <w:bookmarkEnd w:id="46"/>
    </w:p>
    <w:p>
      <w:pPr>
        <w:spacing w:line="560" w:lineRule="exact"/>
        <w:ind w:firstLine="640" w:firstLineChars="200"/>
        <w:rPr>
          <w:rFonts w:eastAsia="仿宋"/>
          <w:sz w:val="32"/>
          <w:szCs w:val="32"/>
        </w:rPr>
      </w:pPr>
      <w:r>
        <w:rPr>
          <w:rFonts w:eastAsia="仿宋"/>
          <w:sz w:val="32"/>
          <w:szCs w:val="32"/>
        </w:rPr>
        <w:t>20</w:t>
      </w:r>
      <w:r>
        <w:rPr>
          <w:rFonts w:hint="eastAsia" w:eastAsia="仿宋"/>
          <w:sz w:val="32"/>
          <w:szCs w:val="32"/>
        </w:rPr>
        <w:t>21年，四川</w:t>
      </w:r>
      <w:r>
        <w:rPr>
          <w:rFonts w:eastAsia="仿宋"/>
          <w:sz w:val="32"/>
          <w:szCs w:val="32"/>
        </w:rPr>
        <w:t>省人民政府驻</w:t>
      </w:r>
      <w:r>
        <w:rPr>
          <w:rFonts w:hint="eastAsia" w:eastAsia="仿宋"/>
          <w:sz w:val="32"/>
          <w:szCs w:val="32"/>
        </w:rPr>
        <w:t>广州</w:t>
      </w:r>
      <w:r>
        <w:rPr>
          <w:rFonts w:eastAsia="仿宋"/>
          <w:sz w:val="32"/>
          <w:szCs w:val="32"/>
        </w:rPr>
        <w:t>办事处</w:t>
      </w:r>
      <w:r>
        <w:rPr>
          <w:rFonts w:hint="eastAsia" w:eastAsia="仿宋"/>
          <w:sz w:val="32"/>
          <w:szCs w:val="32"/>
        </w:rPr>
        <w:t>机关运行经费支出</w:t>
      </w:r>
      <w:r>
        <w:rPr>
          <w:rFonts w:eastAsia="仿宋"/>
          <w:sz w:val="32"/>
          <w:szCs w:val="32"/>
        </w:rPr>
        <w:t>371.92</w:t>
      </w:r>
      <w:r>
        <w:rPr>
          <w:rFonts w:hint="eastAsia" w:eastAsia="仿宋"/>
          <w:sz w:val="32"/>
          <w:szCs w:val="32"/>
        </w:rPr>
        <w:t>万元，比</w:t>
      </w:r>
      <w:r>
        <w:rPr>
          <w:rFonts w:eastAsia="仿宋"/>
          <w:sz w:val="32"/>
          <w:szCs w:val="32"/>
        </w:rPr>
        <w:t>2020</w:t>
      </w:r>
      <w:r>
        <w:rPr>
          <w:rFonts w:hint="eastAsia" w:eastAsia="仿宋"/>
          <w:sz w:val="32"/>
          <w:szCs w:val="32"/>
        </w:rPr>
        <w:t>年减少9.3万元，下降2.44</w:t>
      </w:r>
      <w:r>
        <w:rPr>
          <w:rFonts w:eastAsia="仿宋"/>
          <w:sz w:val="32"/>
          <w:szCs w:val="32"/>
        </w:rPr>
        <w:t>%</w:t>
      </w:r>
      <w:r>
        <w:rPr>
          <w:rFonts w:hint="eastAsia" w:eastAsia="仿宋"/>
          <w:sz w:val="32"/>
          <w:szCs w:val="32"/>
        </w:rPr>
        <w:t>。主要原因是：</w:t>
      </w:r>
      <w:r>
        <w:rPr>
          <w:rStyle w:val="14"/>
          <w:rFonts w:hint="eastAsia" w:eastAsia="仿宋"/>
          <w:b w:val="0"/>
          <w:bCs/>
          <w:sz w:val="32"/>
          <w:szCs w:val="32"/>
        </w:rPr>
        <w:t>厉行</w:t>
      </w:r>
      <w:r>
        <w:rPr>
          <w:rStyle w:val="14"/>
          <w:rFonts w:eastAsia="仿宋"/>
          <w:b w:val="0"/>
          <w:bCs/>
          <w:sz w:val="32"/>
          <w:szCs w:val="32"/>
        </w:rPr>
        <w:t>节约、压缩三</w:t>
      </w:r>
      <w:r>
        <w:rPr>
          <w:rStyle w:val="14"/>
          <w:rFonts w:hint="eastAsia" w:eastAsia="仿宋"/>
          <w:b w:val="0"/>
          <w:bCs/>
          <w:sz w:val="32"/>
          <w:szCs w:val="32"/>
        </w:rPr>
        <w:t>公</w:t>
      </w:r>
      <w:r>
        <w:rPr>
          <w:rStyle w:val="14"/>
          <w:rFonts w:eastAsia="仿宋"/>
          <w:b w:val="0"/>
          <w:bCs/>
          <w:sz w:val="32"/>
          <w:szCs w:val="32"/>
        </w:rPr>
        <w:t>经费</w:t>
      </w:r>
      <w:r>
        <w:rPr>
          <w:rStyle w:val="14"/>
          <w:rFonts w:hint="eastAsia" w:eastAsia="仿宋"/>
          <w:b w:val="0"/>
          <w:bCs/>
          <w:sz w:val="32"/>
          <w:szCs w:val="32"/>
        </w:rPr>
        <w:t>。</w:t>
      </w:r>
    </w:p>
    <w:p>
      <w:pPr>
        <w:spacing w:line="560" w:lineRule="exact"/>
        <w:ind w:firstLine="640"/>
        <w:outlineLvl w:val="2"/>
        <w:rPr>
          <w:rFonts w:eastAsia="楷体_GB2312" w:cs="楷体_GB2312"/>
          <w:bCs/>
          <w:sz w:val="32"/>
          <w:szCs w:val="32"/>
        </w:rPr>
      </w:pPr>
      <w:bookmarkStart w:id="47" w:name="_Toc15377223"/>
      <w:r>
        <w:rPr>
          <w:rFonts w:hint="eastAsia" w:eastAsia="楷体_GB2312" w:cs="楷体_GB2312"/>
          <w:bCs/>
          <w:sz w:val="32"/>
          <w:szCs w:val="32"/>
        </w:rPr>
        <w:t>（二）政府采购支出情况</w:t>
      </w:r>
      <w:bookmarkEnd w:id="47"/>
    </w:p>
    <w:p>
      <w:pPr>
        <w:spacing w:line="540" w:lineRule="exact"/>
        <w:ind w:firstLine="640" w:firstLineChars="200"/>
        <w:rPr>
          <w:rFonts w:hint="eastAsia" w:eastAsia="仿宋"/>
          <w:sz w:val="32"/>
          <w:szCs w:val="32"/>
        </w:rPr>
      </w:pPr>
      <w:r>
        <w:rPr>
          <w:rFonts w:eastAsia="仿宋"/>
          <w:sz w:val="32"/>
          <w:szCs w:val="32"/>
        </w:rPr>
        <w:t>20</w:t>
      </w:r>
      <w:r>
        <w:rPr>
          <w:rFonts w:hint="eastAsia" w:eastAsia="仿宋"/>
          <w:sz w:val="32"/>
          <w:szCs w:val="32"/>
        </w:rPr>
        <w:t>21年，四川</w:t>
      </w:r>
      <w:r>
        <w:rPr>
          <w:rFonts w:eastAsia="仿宋"/>
          <w:sz w:val="32"/>
          <w:szCs w:val="32"/>
        </w:rPr>
        <w:t>省人民政府驻</w:t>
      </w:r>
      <w:r>
        <w:rPr>
          <w:rFonts w:hint="eastAsia" w:eastAsia="仿宋"/>
          <w:sz w:val="32"/>
          <w:szCs w:val="32"/>
        </w:rPr>
        <w:t>广州</w:t>
      </w:r>
      <w:r>
        <w:rPr>
          <w:rFonts w:eastAsia="仿宋"/>
          <w:sz w:val="32"/>
          <w:szCs w:val="32"/>
        </w:rPr>
        <w:t>办事处</w:t>
      </w:r>
      <w:r>
        <w:rPr>
          <w:rFonts w:hint="eastAsia" w:eastAsia="仿宋"/>
          <w:sz w:val="32"/>
          <w:szCs w:val="32"/>
        </w:rPr>
        <w:t>政府采购支出总额</w:t>
      </w:r>
      <w:r>
        <w:rPr>
          <w:rFonts w:eastAsia="仿宋"/>
          <w:sz w:val="32"/>
          <w:szCs w:val="32"/>
        </w:rPr>
        <w:t>22.29</w:t>
      </w:r>
      <w:r>
        <w:rPr>
          <w:rFonts w:hint="eastAsia" w:eastAsia="仿宋"/>
          <w:sz w:val="32"/>
          <w:szCs w:val="32"/>
        </w:rPr>
        <w:t>万元，其中：政府采购货物</w:t>
      </w:r>
      <w:r>
        <w:rPr>
          <w:rFonts w:eastAsia="仿宋"/>
          <w:sz w:val="32"/>
          <w:szCs w:val="32"/>
        </w:rPr>
        <w:t>支出</w:t>
      </w:r>
      <w:r>
        <w:rPr>
          <w:rFonts w:hint="eastAsia" w:eastAsia="仿宋"/>
          <w:sz w:val="32"/>
          <w:szCs w:val="32"/>
        </w:rPr>
        <w:t>4.29万元</w:t>
      </w:r>
      <w:r>
        <w:rPr>
          <w:rFonts w:eastAsia="仿宋"/>
          <w:sz w:val="32"/>
          <w:szCs w:val="32"/>
        </w:rPr>
        <w:t>，政府采购工程支出</w:t>
      </w:r>
      <w:r>
        <w:rPr>
          <w:rFonts w:hint="eastAsia" w:eastAsia="仿宋"/>
          <w:sz w:val="32"/>
          <w:szCs w:val="32"/>
        </w:rPr>
        <w:t>0万元</w:t>
      </w:r>
      <w:r>
        <w:rPr>
          <w:rFonts w:eastAsia="仿宋"/>
          <w:sz w:val="32"/>
          <w:szCs w:val="32"/>
        </w:rPr>
        <w:t>，政府采购</w:t>
      </w:r>
      <w:r>
        <w:rPr>
          <w:rFonts w:hint="eastAsia" w:eastAsia="仿宋"/>
          <w:sz w:val="32"/>
          <w:szCs w:val="32"/>
        </w:rPr>
        <w:t>服务支出18万元。主要用于车辆</w:t>
      </w:r>
      <w:r>
        <w:rPr>
          <w:rFonts w:eastAsia="仿宋"/>
          <w:sz w:val="32"/>
          <w:szCs w:val="32"/>
        </w:rPr>
        <w:t>加油、维修、保险</w:t>
      </w:r>
      <w:r>
        <w:rPr>
          <w:rFonts w:hint="eastAsia" w:eastAsia="仿宋"/>
          <w:sz w:val="32"/>
          <w:szCs w:val="32"/>
        </w:rPr>
        <w:t>等。授予中小企业合同金额</w:t>
      </w:r>
      <w:r>
        <w:rPr>
          <w:rFonts w:eastAsia="仿宋"/>
          <w:sz w:val="32"/>
          <w:szCs w:val="32"/>
        </w:rPr>
        <w:t>11.29</w:t>
      </w:r>
      <w:r>
        <w:rPr>
          <w:rFonts w:hint="eastAsia" w:eastAsia="仿宋"/>
          <w:sz w:val="32"/>
          <w:szCs w:val="32"/>
        </w:rPr>
        <w:t>万元，占政府采购支出总额的50.65</w:t>
      </w:r>
      <w:r>
        <w:rPr>
          <w:rFonts w:eastAsia="仿宋"/>
          <w:sz w:val="32"/>
          <w:szCs w:val="32"/>
        </w:rPr>
        <w:t>%</w:t>
      </w:r>
      <w:r>
        <w:rPr>
          <w:rFonts w:hint="eastAsia" w:eastAsia="仿宋"/>
          <w:sz w:val="32"/>
          <w:szCs w:val="32"/>
        </w:rPr>
        <w:t>，</w:t>
      </w:r>
      <w:r>
        <w:rPr>
          <w:rFonts w:eastAsia="仿宋"/>
          <w:sz w:val="32"/>
          <w:szCs w:val="32"/>
        </w:rPr>
        <w:t>其中：授予小微企业合同金额</w:t>
      </w:r>
      <w:r>
        <w:rPr>
          <w:rFonts w:hint="eastAsia" w:eastAsia="仿宋"/>
          <w:sz w:val="32"/>
          <w:szCs w:val="32"/>
        </w:rPr>
        <w:t>0万元</w:t>
      </w:r>
      <w:r>
        <w:rPr>
          <w:rFonts w:eastAsia="仿宋"/>
          <w:sz w:val="32"/>
          <w:szCs w:val="32"/>
        </w:rPr>
        <w:t>，</w:t>
      </w:r>
      <w:r>
        <w:rPr>
          <w:rFonts w:hint="eastAsia" w:eastAsia="仿宋"/>
          <w:sz w:val="32"/>
          <w:szCs w:val="32"/>
        </w:rPr>
        <w:t>占</w:t>
      </w:r>
      <w:r>
        <w:rPr>
          <w:rFonts w:eastAsia="仿宋"/>
          <w:sz w:val="32"/>
          <w:szCs w:val="32"/>
        </w:rPr>
        <w:t>政府</w:t>
      </w:r>
      <w:r>
        <w:rPr>
          <w:rFonts w:hint="eastAsia" w:eastAsia="仿宋"/>
          <w:sz w:val="32"/>
          <w:szCs w:val="32"/>
        </w:rPr>
        <w:t>采购</w:t>
      </w:r>
      <w:r>
        <w:rPr>
          <w:rFonts w:eastAsia="仿宋"/>
          <w:sz w:val="32"/>
          <w:szCs w:val="32"/>
        </w:rPr>
        <w:t>支出总额的</w:t>
      </w:r>
      <w:r>
        <w:rPr>
          <w:rFonts w:hint="eastAsia" w:eastAsia="仿宋"/>
          <w:sz w:val="32"/>
          <w:szCs w:val="32"/>
        </w:rPr>
        <w:t>0</w:t>
      </w:r>
      <w:r>
        <w:rPr>
          <w:rFonts w:eastAsia="仿宋"/>
          <w:sz w:val="32"/>
          <w:szCs w:val="32"/>
        </w:rPr>
        <w:t>%。</w:t>
      </w:r>
    </w:p>
    <w:p>
      <w:pPr>
        <w:spacing w:line="540" w:lineRule="exact"/>
        <w:ind w:firstLine="640"/>
        <w:outlineLvl w:val="2"/>
        <w:rPr>
          <w:rFonts w:eastAsia="楷体_GB2312" w:cs="楷体_GB2312"/>
          <w:bCs/>
          <w:sz w:val="32"/>
          <w:szCs w:val="32"/>
        </w:rPr>
      </w:pPr>
      <w:bookmarkStart w:id="48" w:name="_Toc15377224"/>
      <w:r>
        <w:rPr>
          <w:rFonts w:hint="eastAsia" w:eastAsia="楷体_GB2312" w:cs="楷体_GB2312"/>
          <w:bCs/>
          <w:sz w:val="32"/>
          <w:szCs w:val="32"/>
        </w:rPr>
        <w:t>（三）国有资产占有使用情况</w:t>
      </w:r>
      <w:bookmarkEnd w:id="48"/>
    </w:p>
    <w:p>
      <w:pPr>
        <w:autoSpaceDE w:val="0"/>
        <w:autoSpaceDN w:val="0"/>
        <w:adjustRightInd w:val="0"/>
        <w:spacing w:line="540" w:lineRule="exact"/>
        <w:ind w:firstLine="640" w:firstLineChars="200"/>
        <w:jc w:val="left"/>
        <w:rPr>
          <w:rFonts w:eastAsia="仿宋"/>
          <w:sz w:val="32"/>
          <w:szCs w:val="32"/>
        </w:rPr>
      </w:pPr>
      <w:r>
        <w:rPr>
          <w:rFonts w:hint="eastAsia" w:eastAsia="仿宋"/>
          <w:sz w:val="32"/>
          <w:szCs w:val="32"/>
        </w:rPr>
        <w:t>截至</w:t>
      </w:r>
      <w:r>
        <w:rPr>
          <w:rFonts w:eastAsia="仿宋"/>
          <w:sz w:val="32"/>
          <w:szCs w:val="32"/>
        </w:rPr>
        <w:t>20</w:t>
      </w:r>
      <w:r>
        <w:rPr>
          <w:rFonts w:hint="eastAsia" w:eastAsia="仿宋"/>
          <w:sz w:val="32"/>
          <w:szCs w:val="32"/>
        </w:rPr>
        <w:t>21年</w:t>
      </w:r>
      <w:r>
        <w:rPr>
          <w:rFonts w:eastAsia="仿宋"/>
          <w:sz w:val="32"/>
          <w:szCs w:val="32"/>
        </w:rPr>
        <w:t>12</w:t>
      </w:r>
      <w:r>
        <w:rPr>
          <w:rFonts w:hint="eastAsia" w:eastAsia="仿宋"/>
          <w:sz w:val="32"/>
          <w:szCs w:val="32"/>
        </w:rPr>
        <w:t>月</w:t>
      </w:r>
      <w:r>
        <w:rPr>
          <w:rFonts w:eastAsia="仿宋"/>
          <w:sz w:val="32"/>
          <w:szCs w:val="32"/>
        </w:rPr>
        <w:t>31</w:t>
      </w:r>
      <w:r>
        <w:rPr>
          <w:rFonts w:hint="eastAsia" w:eastAsia="仿宋"/>
          <w:sz w:val="32"/>
          <w:szCs w:val="32"/>
        </w:rPr>
        <w:t>日，四川</w:t>
      </w:r>
      <w:r>
        <w:rPr>
          <w:rFonts w:eastAsia="仿宋"/>
          <w:sz w:val="32"/>
          <w:szCs w:val="32"/>
        </w:rPr>
        <w:t>省人民政府驻</w:t>
      </w:r>
      <w:r>
        <w:rPr>
          <w:rFonts w:hint="eastAsia" w:eastAsia="仿宋"/>
          <w:sz w:val="32"/>
          <w:szCs w:val="32"/>
        </w:rPr>
        <w:t>广州</w:t>
      </w:r>
      <w:r>
        <w:rPr>
          <w:rFonts w:eastAsia="仿宋"/>
          <w:sz w:val="32"/>
          <w:szCs w:val="32"/>
        </w:rPr>
        <w:t>办事处</w:t>
      </w:r>
      <w:r>
        <w:rPr>
          <w:rFonts w:hint="eastAsia" w:eastAsia="仿宋"/>
          <w:sz w:val="32"/>
          <w:szCs w:val="32"/>
        </w:rPr>
        <w:t>共有车辆</w:t>
      </w:r>
      <w:r>
        <w:rPr>
          <w:rFonts w:eastAsia="仿宋"/>
          <w:sz w:val="32"/>
          <w:szCs w:val="32"/>
        </w:rPr>
        <w:t>8</w:t>
      </w:r>
      <w:r>
        <w:rPr>
          <w:rFonts w:hint="eastAsia" w:eastAsia="仿宋"/>
          <w:sz w:val="32"/>
          <w:szCs w:val="32"/>
        </w:rPr>
        <w:t>辆，其中：</w:t>
      </w:r>
      <w:r>
        <w:rPr>
          <w:rFonts w:hint="eastAsia" w:eastAsia="仿宋_GB2312"/>
          <w:sz w:val="32"/>
          <w:szCs w:val="32"/>
        </w:rPr>
        <w:t>其他</w:t>
      </w:r>
      <w:r>
        <w:rPr>
          <w:rFonts w:eastAsia="仿宋_GB2312"/>
          <w:sz w:val="32"/>
          <w:szCs w:val="32"/>
        </w:rPr>
        <w:t>用车</w:t>
      </w:r>
      <w:r>
        <w:rPr>
          <w:rFonts w:hint="eastAsia" w:eastAsia="仿宋_GB2312"/>
          <w:sz w:val="32"/>
          <w:szCs w:val="32"/>
        </w:rPr>
        <w:t>8辆</w:t>
      </w:r>
      <w:r>
        <w:rPr>
          <w:rFonts w:eastAsia="仿宋_GB2312"/>
          <w:sz w:val="32"/>
          <w:szCs w:val="32"/>
        </w:rPr>
        <w:t>。</w:t>
      </w:r>
      <w:r>
        <w:rPr>
          <w:rFonts w:hint="eastAsia" w:eastAsia="仿宋_GB2312"/>
          <w:sz w:val="32"/>
          <w:szCs w:val="32"/>
        </w:rPr>
        <w:t>其他用</w:t>
      </w:r>
      <w:r>
        <w:rPr>
          <w:rFonts w:hint="eastAsia" w:eastAsia="仿宋"/>
          <w:sz w:val="32"/>
          <w:szCs w:val="32"/>
        </w:rPr>
        <w:t>车主要是用于</w:t>
      </w:r>
      <w:r>
        <w:rPr>
          <w:rFonts w:eastAsia="仿宋"/>
          <w:sz w:val="32"/>
          <w:szCs w:val="32"/>
        </w:rPr>
        <w:t>招商引资等业务活动车辆保障。</w:t>
      </w:r>
      <w:r>
        <w:rPr>
          <w:rFonts w:hint="eastAsia" w:eastAsia="仿宋"/>
          <w:sz w:val="32"/>
          <w:szCs w:val="32"/>
        </w:rPr>
        <w:t>单价</w:t>
      </w:r>
      <w:r>
        <w:rPr>
          <w:rFonts w:eastAsia="仿宋"/>
          <w:sz w:val="32"/>
          <w:szCs w:val="32"/>
        </w:rPr>
        <w:t>50</w:t>
      </w:r>
      <w:r>
        <w:rPr>
          <w:rFonts w:hint="eastAsia" w:eastAsia="仿宋"/>
          <w:sz w:val="32"/>
          <w:szCs w:val="32"/>
        </w:rPr>
        <w:t>万元以上通用设备</w:t>
      </w:r>
      <w:r>
        <w:rPr>
          <w:rFonts w:eastAsia="仿宋"/>
          <w:sz w:val="32"/>
          <w:szCs w:val="32"/>
        </w:rPr>
        <w:t>0</w:t>
      </w:r>
      <w:r>
        <w:rPr>
          <w:rFonts w:hint="eastAsia" w:eastAsia="仿宋"/>
          <w:sz w:val="32"/>
          <w:szCs w:val="32"/>
        </w:rPr>
        <w:t>台（套），单价</w:t>
      </w:r>
      <w:r>
        <w:rPr>
          <w:rFonts w:eastAsia="仿宋"/>
          <w:sz w:val="32"/>
          <w:szCs w:val="32"/>
        </w:rPr>
        <w:t>100</w:t>
      </w:r>
      <w:r>
        <w:rPr>
          <w:rFonts w:hint="eastAsia" w:eastAsia="仿宋"/>
          <w:sz w:val="32"/>
          <w:szCs w:val="32"/>
        </w:rPr>
        <w:t>万元以上专用设备</w:t>
      </w:r>
      <w:r>
        <w:rPr>
          <w:rFonts w:eastAsia="仿宋"/>
          <w:sz w:val="32"/>
          <w:szCs w:val="32"/>
        </w:rPr>
        <w:t>0</w:t>
      </w:r>
      <w:r>
        <w:rPr>
          <w:rFonts w:hint="eastAsia" w:eastAsia="仿宋"/>
          <w:sz w:val="32"/>
          <w:szCs w:val="32"/>
        </w:rPr>
        <w:t>台（套）。</w:t>
      </w:r>
    </w:p>
    <w:p>
      <w:pPr>
        <w:spacing w:line="540" w:lineRule="exact"/>
        <w:ind w:firstLine="640"/>
        <w:outlineLvl w:val="2"/>
        <w:rPr>
          <w:rFonts w:eastAsia="楷体_GB2312" w:cs="楷体_GB2312"/>
          <w:bCs/>
          <w:sz w:val="32"/>
          <w:szCs w:val="32"/>
        </w:rPr>
      </w:pPr>
      <w:r>
        <w:rPr>
          <w:rFonts w:hint="eastAsia" w:eastAsia="楷体_GB2312" w:cs="楷体_GB2312"/>
          <w:bCs/>
          <w:sz w:val="32"/>
          <w:szCs w:val="32"/>
        </w:rPr>
        <w:t>（四）预算绩效管理情况</w:t>
      </w:r>
    </w:p>
    <w:p>
      <w:pPr>
        <w:spacing w:line="540" w:lineRule="exact"/>
        <w:ind w:firstLine="640" w:firstLineChars="200"/>
        <w:rPr>
          <w:rFonts w:eastAsia="仿宋" w:cs="仿宋_GB2312"/>
          <w:sz w:val="32"/>
          <w:szCs w:val="32"/>
        </w:rPr>
      </w:pPr>
      <w:r>
        <w:rPr>
          <w:rFonts w:hint="eastAsia" w:eastAsia="仿宋" w:cs="仿宋_GB2312"/>
          <w:sz w:val="32"/>
          <w:szCs w:val="32"/>
        </w:rPr>
        <w:t>根据预算绩效管理要求，本单位在2021年度预算编制阶段，组织对房屋</w:t>
      </w:r>
      <w:r>
        <w:rPr>
          <w:rFonts w:eastAsia="仿宋" w:cs="仿宋_GB2312"/>
          <w:sz w:val="32"/>
          <w:szCs w:val="32"/>
        </w:rPr>
        <w:t>租赁</w:t>
      </w:r>
      <w:r>
        <w:rPr>
          <w:rFonts w:hint="eastAsia" w:eastAsia="仿宋" w:cs="仿宋_GB2312"/>
          <w:sz w:val="32"/>
          <w:szCs w:val="32"/>
        </w:rPr>
        <w:t>项目开展了预算事前绩效评估，对1个项目编制了绩效目标，预算执行过程中，选取1个项目开展绩效监控，年终执行完毕后，对1个项目开展了绩效目标完成情况自评，2021年特定</w:t>
      </w:r>
      <w:r>
        <w:rPr>
          <w:rFonts w:eastAsia="仿宋" w:cs="仿宋_GB2312"/>
          <w:sz w:val="32"/>
          <w:szCs w:val="32"/>
        </w:rPr>
        <w:t>目标类</w:t>
      </w:r>
      <w:r>
        <w:rPr>
          <w:rFonts w:hint="eastAsia" w:eastAsia="仿宋" w:cs="仿宋_GB2312"/>
          <w:sz w:val="32"/>
          <w:szCs w:val="32"/>
        </w:rPr>
        <w:t>部门</w:t>
      </w:r>
      <w:r>
        <w:rPr>
          <w:rFonts w:eastAsia="仿宋" w:cs="仿宋_GB2312"/>
          <w:sz w:val="32"/>
          <w:szCs w:val="32"/>
        </w:rPr>
        <w:t>预算项目绩效目标自评表见附件（</w:t>
      </w:r>
      <w:r>
        <w:rPr>
          <w:rFonts w:hint="eastAsia" w:eastAsia="仿宋" w:cs="仿宋_GB2312"/>
          <w:sz w:val="32"/>
          <w:szCs w:val="32"/>
        </w:rPr>
        <w:t>第</w:t>
      </w:r>
      <w:r>
        <w:rPr>
          <w:rFonts w:eastAsia="仿宋" w:cs="仿宋_GB2312"/>
          <w:sz w:val="32"/>
          <w:szCs w:val="32"/>
        </w:rPr>
        <w:t>四部分）</w:t>
      </w:r>
      <w:r>
        <w:rPr>
          <w:rFonts w:hint="eastAsia" w:eastAsia="仿宋" w:cs="仿宋_GB2312"/>
          <w:sz w:val="32"/>
          <w:szCs w:val="32"/>
        </w:rPr>
        <w:t>。</w:t>
      </w:r>
    </w:p>
    <w:p>
      <w:pPr>
        <w:spacing w:line="560" w:lineRule="exact"/>
        <w:jc w:val="center"/>
        <w:outlineLvl w:val="0"/>
        <w:rPr>
          <w:rFonts w:ascii="方正小标宋_GBK" w:hAnsi="方正小标宋_GBK" w:eastAsia="方正小标宋_GBK" w:cs="方正小标宋_GBK"/>
          <w:color w:val="000000"/>
          <w:sz w:val="44"/>
          <w:szCs w:val="44"/>
        </w:rPr>
      </w:pPr>
      <w:bookmarkStart w:id="49" w:name="_Toc15377225"/>
      <w:bookmarkStart w:id="50" w:name="_Toc15396613"/>
    </w:p>
    <w:p>
      <w:pPr>
        <w:spacing w:line="560" w:lineRule="exact"/>
        <w:jc w:val="center"/>
        <w:outlineLvl w:val="0"/>
        <w:rPr>
          <w:rFonts w:ascii="方正小标宋_GBK" w:hAnsi="方正小标宋_GBK" w:eastAsia="方正小标宋_GBK" w:cs="方正小标宋_GBK"/>
          <w:color w:val="000000"/>
          <w:sz w:val="44"/>
          <w:szCs w:val="44"/>
        </w:rPr>
      </w:pPr>
    </w:p>
    <w:p>
      <w:pPr>
        <w:spacing w:line="560" w:lineRule="exact"/>
        <w:jc w:val="center"/>
        <w:outlineLvl w:val="0"/>
        <w:rPr>
          <w:rFonts w:ascii="方正小标宋_GBK" w:hAnsi="方正小标宋_GBK" w:eastAsia="方正小标宋_GBK" w:cs="方正小标宋_GBK"/>
          <w:color w:val="000000"/>
          <w:sz w:val="44"/>
          <w:szCs w:val="44"/>
        </w:rPr>
      </w:pPr>
    </w:p>
    <w:p>
      <w:pPr>
        <w:spacing w:line="560" w:lineRule="exact"/>
        <w:jc w:val="center"/>
        <w:outlineLvl w:val="0"/>
        <w:rPr>
          <w:rFonts w:ascii="方正小标宋_GBK" w:hAnsi="方正小标宋_GBK" w:eastAsia="方正小标宋_GBK" w:cs="方正小标宋_GBK"/>
          <w:color w:val="000000"/>
          <w:sz w:val="44"/>
          <w:szCs w:val="44"/>
        </w:rPr>
      </w:pPr>
    </w:p>
    <w:p>
      <w:pPr>
        <w:spacing w:line="560" w:lineRule="exact"/>
        <w:jc w:val="center"/>
        <w:outlineLvl w:val="0"/>
        <w:rPr>
          <w:rFonts w:ascii="方正小标宋_GBK" w:hAnsi="方正小标宋_GBK" w:eastAsia="方正小标宋_GBK" w:cs="方正小标宋_GBK"/>
          <w:color w:val="000000"/>
          <w:sz w:val="44"/>
          <w:szCs w:val="44"/>
        </w:rPr>
      </w:pPr>
    </w:p>
    <w:p>
      <w:pPr>
        <w:spacing w:line="560" w:lineRule="exact"/>
        <w:jc w:val="center"/>
        <w:outlineLvl w:val="0"/>
        <w:rPr>
          <w:rFonts w:ascii="方正小标宋_GBK" w:hAnsi="方正小标宋_GBK" w:eastAsia="方正小标宋_GBK" w:cs="方正小标宋_GBK"/>
          <w:color w:val="000000"/>
          <w:sz w:val="44"/>
          <w:szCs w:val="44"/>
        </w:rPr>
      </w:pPr>
    </w:p>
    <w:p>
      <w:pPr>
        <w:spacing w:line="560" w:lineRule="exact"/>
        <w:jc w:val="center"/>
        <w:outlineLvl w:val="0"/>
        <w:rPr>
          <w:rFonts w:ascii="方正小标宋_GBK" w:hAnsi="方正小标宋_GBK" w:eastAsia="方正小标宋_GBK" w:cs="方正小标宋_GBK"/>
          <w:color w:val="000000"/>
          <w:sz w:val="44"/>
          <w:szCs w:val="44"/>
        </w:rPr>
      </w:pPr>
    </w:p>
    <w:p>
      <w:pPr>
        <w:spacing w:line="560" w:lineRule="exact"/>
        <w:jc w:val="center"/>
        <w:outlineLvl w:val="0"/>
        <w:rPr>
          <w:rFonts w:ascii="方正小标宋_GBK" w:hAnsi="方正小标宋_GBK" w:eastAsia="方正小标宋_GBK" w:cs="方正小标宋_GBK"/>
          <w:color w:val="000000"/>
          <w:sz w:val="44"/>
          <w:szCs w:val="44"/>
        </w:rPr>
      </w:pPr>
    </w:p>
    <w:p>
      <w:pPr>
        <w:spacing w:line="560" w:lineRule="exact"/>
        <w:jc w:val="center"/>
        <w:outlineLvl w:val="0"/>
        <w:rPr>
          <w:rFonts w:ascii="方正小标宋_GBK" w:hAnsi="方正小标宋_GBK" w:eastAsia="方正小标宋_GBK" w:cs="方正小标宋_GBK"/>
          <w:color w:val="000000"/>
          <w:sz w:val="44"/>
          <w:szCs w:val="44"/>
        </w:rPr>
      </w:pPr>
    </w:p>
    <w:p>
      <w:pPr>
        <w:widowControl/>
        <w:jc w:val="left"/>
        <w:rPr>
          <w:rFonts w:ascii="方正小标宋_GBK" w:hAnsi="方正小标宋_GBK" w:eastAsia="方正小标宋_GBK" w:cs="方正小标宋_GBK"/>
          <w:color w:val="000000"/>
          <w:sz w:val="44"/>
          <w:szCs w:val="44"/>
        </w:rPr>
      </w:pPr>
      <w:r>
        <w:rPr>
          <w:rFonts w:ascii="方正小标宋_GBK" w:hAnsi="方正小标宋_GBK" w:eastAsia="方正小标宋_GBK" w:cs="方正小标宋_GBK"/>
          <w:color w:val="000000"/>
          <w:sz w:val="44"/>
          <w:szCs w:val="44"/>
        </w:rPr>
        <w:br w:type="page"/>
      </w:r>
    </w:p>
    <w:p>
      <w:pPr>
        <w:spacing w:line="560" w:lineRule="exact"/>
        <w:jc w:val="center"/>
        <w:outlineLvl w:val="0"/>
        <w:rPr>
          <w:rFonts w:ascii="方正小标宋_GBK" w:hAnsi="方正小标宋_GBK" w:eastAsia="方正小标宋_GBK" w:cs="方正小标宋_GBK"/>
          <w:color w:val="000000"/>
          <w:sz w:val="44"/>
          <w:szCs w:val="44"/>
        </w:rPr>
      </w:pPr>
    </w:p>
    <w:p>
      <w:pPr>
        <w:spacing w:line="560" w:lineRule="exact"/>
        <w:jc w:val="center"/>
        <w:outlineLvl w:val="0"/>
        <w:rPr>
          <w:rStyle w:val="25"/>
          <w:rFonts w:ascii="方正小标宋简体" w:hAnsi="方正小标宋_GBK" w:eastAsia="方正小标宋简体" w:cs="方正小标宋_GBK"/>
          <w:b w:val="0"/>
        </w:rPr>
      </w:pPr>
      <w:r>
        <w:rPr>
          <w:rFonts w:hint="eastAsia" w:ascii="方正小标宋简体" w:hAnsi="方正小标宋_GBK" w:eastAsia="方正小标宋简体" w:cs="方正小标宋_GBK"/>
          <w:color w:val="000000"/>
          <w:sz w:val="44"/>
          <w:szCs w:val="44"/>
        </w:rPr>
        <w:t>第三部分 名</w:t>
      </w:r>
      <w:r>
        <w:rPr>
          <w:rStyle w:val="25"/>
          <w:rFonts w:hint="eastAsia" w:ascii="方正小标宋简体" w:hAnsi="方正小标宋_GBK" w:eastAsia="方正小标宋简体" w:cs="方正小标宋_GBK"/>
          <w:b w:val="0"/>
        </w:rPr>
        <w:t>词解释</w:t>
      </w:r>
      <w:bookmarkEnd w:id="49"/>
      <w:bookmarkEnd w:id="50"/>
    </w:p>
    <w:p>
      <w:pPr>
        <w:spacing w:line="560" w:lineRule="exact"/>
        <w:jc w:val="left"/>
        <w:rPr>
          <w:b/>
          <w:color w:val="000000"/>
          <w:sz w:val="44"/>
          <w:szCs w:val="44"/>
        </w:rPr>
      </w:pPr>
    </w:p>
    <w:p>
      <w:pPr>
        <w:pStyle w:val="23"/>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财政拨款收入：指单位从同级财政部门取得的财政预算资金。</w:t>
      </w:r>
    </w:p>
    <w:p>
      <w:pPr>
        <w:pStyle w:val="23"/>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事业收入：指事业单位开展专业业务活动及辅助活动取得的收入。</w:t>
      </w:r>
    </w:p>
    <w:p>
      <w:pPr>
        <w:pStyle w:val="23"/>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经营收入：指事业单位在专业业务活动及其辅助活动之外开展非独立核算经营活动取得的收入。</w:t>
      </w:r>
    </w:p>
    <w:p>
      <w:pPr>
        <w:pStyle w:val="23"/>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其他收入：指单位取得的除上述收入以外的各项收入。</w:t>
      </w:r>
      <w:r>
        <w:rPr>
          <w:rFonts w:ascii="Times New Roman" w:hAnsi="Times New Roman" w:eastAsia="仿宋_GB2312"/>
          <w:sz w:val="32"/>
          <w:szCs w:val="32"/>
        </w:rPr>
        <w:t xml:space="preserve"> </w:t>
      </w:r>
    </w:p>
    <w:p>
      <w:pPr>
        <w:pStyle w:val="23"/>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使用非财政拨款结余：指事业单位使用以前年度积累的非财政拨款结余弥补当年收支差额的金额。</w:t>
      </w:r>
      <w:r>
        <w:rPr>
          <w:rFonts w:ascii="Times New Roman" w:hAnsi="Times New Roman" w:eastAsia="仿宋_GB2312"/>
          <w:sz w:val="32"/>
          <w:szCs w:val="32"/>
        </w:rPr>
        <w:t xml:space="preserve"> </w:t>
      </w:r>
    </w:p>
    <w:p>
      <w:pPr>
        <w:pStyle w:val="23"/>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年初结转和结余：指以前年度尚未完成、结转到本年按有关规定继续使用的资金。</w:t>
      </w:r>
      <w:r>
        <w:rPr>
          <w:rFonts w:ascii="Times New Roman" w:hAnsi="Times New Roman" w:eastAsia="仿宋_GB2312"/>
          <w:sz w:val="32"/>
          <w:szCs w:val="32"/>
        </w:rPr>
        <w:t xml:space="preserve"> </w:t>
      </w:r>
    </w:p>
    <w:p>
      <w:pPr>
        <w:pStyle w:val="23"/>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rPr>
        <w:t>结余分配：指事业单位按照会计制度规定缴纳的所得税、提取的专用结余以及转入非财政拨款结余的金额等。</w:t>
      </w:r>
    </w:p>
    <w:p>
      <w:pPr>
        <w:pStyle w:val="23"/>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w:t>
      </w:r>
      <w:r>
        <w:rPr>
          <w:rFonts w:hint="eastAsia" w:ascii="Times New Roman" w:hAnsi="Times New Roman" w:eastAsia="仿宋_GB2312"/>
          <w:sz w:val="32"/>
          <w:szCs w:val="32"/>
        </w:rPr>
        <w:t>.年末结转和结余：指单位按有关规定结转到下年或以后年度继续使用的资金。</w:t>
      </w:r>
    </w:p>
    <w:p>
      <w:pPr>
        <w:spacing w:line="560" w:lineRule="exact"/>
        <w:ind w:firstLine="640" w:firstLineChars="200"/>
        <w:rPr>
          <w:rFonts w:eastAsia="仿宋"/>
          <w:color w:val="000000"/>
          <w:sz w:val="32"/>
          <w:szCs w:val="32"/>
        </w:rPr>
      </w:pPr>
      <w:r>
        <w:rPr>
          <w:rFonts w:eastAsia="仿宋"/>
          <w:color w:val="000000"/>
          <w:sz w:val="32"/>
          <w:szCs w:val="32"/>
        </w:rPr>
        <w:t xml:space="preserve">9.一般公共服务（类）商贸事务（款）行政运行（项）: 指用于保障机构正常运行、开展日常工作的基本支出。 </w:t>
      </w:r>
    </w:p>
    <w:p>
      <w:pPr>
        <w:spacing w:line="560" w:lineRule="exact"/>
        <w:ind w:firstLine="640" w:firstLineChars="200"/>
        <w:rPr>
          <w:rFonts w:eastAsia="仿宋"/>
          <w:color w:val="000000"/>
          <w:sz w:val="32"/>
          <w:szCs w:val="32"/>
        </w:rPr>
      </w:pPr>
      <w:r>
        <w:rPr>
          <w:rFonts w:eastAsia="仿宋"/>
          <w:color w:val="000000"/>
          <w:sz w:val="32"/>
          <w:szCs w:val="32"/>
        </w:rPr>
        <w:t xml:space="preserve">10.一般公共服务（类）商贸事务（款）一般行政管理事 务（项）: 指反映行政单位（包括实行公务员管理的事业单 位）未单独设置项级科目的其他项目支出。 </w:t>
      </w:r>
    </w:p>
    <w:p>
      <w:pPr>
        <w:spacing w:line="560" w:lineRule="exact"/>
        <w:ind w:firstLine="640" w:firstLineChars="200"/>
        <w:rPr>
          <w:rFonts w:eastAsia="仿宋"/>
          <w:color w:val="000000"/>
          <w:sz w:val="32"/>
          <w:szCs w:val="32"/>
        </w:rPr>
      </w:pPr>
      <w:r>
        <w:rPr>
          <w:rFonts w:eastAsia="仿宋"/>
          <w:color w:val="000000"/>
          <w:sz w:val="32"/>
          <w:szCs w:val="32"/>
        </w:rPr>
        <w:t>11.一般公共服务（类）商贸事务（款）招商引资（项）: 指反映用于招商引资、优化经济环境等方面的支出。</w:t>
      </w:r>
    </w:p>
    <w:p>
      <w:pPr>
        <w:spacing w:line="560" w:lineRule="exact"/>
        <w:ind w:firstLine="640" w:firstLineChars="200"/>
        <w:rPr>
          <w:rFonts w:eastAsia="仿宋"/>
          <w:color w:val="000000"/>
          <w:sz w:val="32"/>
          <w:szCs w:val="32"/>
        </w:rPr>
      </w:pPr>
      <w:r>
        <w:rPr>
          <w:rFonts w:eastAsia="仿宋"/>
          <w:color w:val="000000"/>
          <w:sz w:val="32"/>
          <w:szCs w:val="32"/>
        </w:rPr>
        <w:t>12</w:t>
      </w:r>
      <w:r>
        <w:rPr>
          <w:rFonts w:hint="eastAsia" w:eastAsia="仿宋"/>
          <w:color w:val="000000"/>
          <w:sz w:val="32"/>
          <w:szCs w:val="32"/>
        </w:rPr>
        <w:t xml:space="preserve">.社会保障和就业（类）行政事业单位离退休（款）未 归口管理的行政单位离退休（项）: 指反映未实行归口管理 的行政单位（包括实行公务员管理的事业单位）开支的离退 休支出。 </w:t>
      </w:r>
    </w:p>
    <w:p>
      <w:pPr>
        <w:spacing w:line="560" w:lineRule="exact"/>
        <w:ind w:firstLine="640" w:firstLineChars="200"/>
        <w:rPr>
          <w:rFonts w:eastAsia="仿宋"/>
          <w:color w:val="000000"/>
          <w:sz w:val="32"/>
          <w:szCs w:val="32"/>
        </w:rPr>
      </w:pPr>
      <w:r>
        <w:rPr>
          <w:rFonts w:eastAsia="仿宋"/>
          <w:color w:val="000000"/>
          <w:sz w:val="32"/>
          <w:szCs w:val="32"/>
        </w:rPr>
        <w:t>13</w:t>
      </w:r>
      <w:r>
        <w:rPr>
          <w:rFonts w:hint="eastAsia" w:eastAsia="仿宋"/>
          <w:color w:val="000000"/>
          <w:sz w:val="32"/>
          <w:szCs w:val="32"/>
        </w:rPr>
        <w:t>.社会保障和就业（类）行政事业单位离退休（款）机 关事业单位基本养老保险缴费支出（项）: 指反映机关事业 单位实施养老保险制度由单位缴纳的基本保险费支出。</w:t>
      </w:r>
    </w:p>
    <w:p>
      <w:pPr>
        <w:spacing w:line="560" w:lineRule="exact"/>
        <w:ind w:firstLine="640" w:firstLineChars="200"/>
        <w:rPr>
          <w:rFonts w:eastAsia="仿宋"/>
          <w:color w:val="000000"/>
          <w:sz w:val="32"/>
          <w:szCs w:val="32"/>
        </w:rPr>
      </w:pPr>
      <w:r>
        <w:rPr>
          <w:rFonts w:hint="eastAsia" w:eastAsia="仿宋"/>
          <w:color w:val="000000"/>
          <w:sz w:val="32"/>
          <w:szCs w:val="32"/>
        </w:rPr>
        <w:t xml:space="preserve">14.卫生健康支出（类）行政事业单位医疗（款）行政单 位医疗（项）: 指反映财政部门集中安排的行政单位基本医疗保险缴费经费，未参加医疗保险的行政单位的公费医疗经 费，按国家规定享受离休人员、红军老战士待遇人员的医疗 经费。 </w:t>
      </w:r>
    </w:p>
    <w:p>
      <w:pPr>
        <w:spacing w:line="560" w:lineRule="exact"/>
        <w:ind w:firstLine="640" w:firstLineChars="200"/>
        <w:rPr>
          <w:rFonts w:eastAsia="仿宋"/>
          <w:color w:val="000000"/>
          <w:sz w:val="32"/>
          <w:szCs w:val="32"/>
        </w:rPr>
      </w:pPr>
      <w:r>
        <w:rPr>
          <w:rFonts w:hint="eastAsia" w:eastAsia="仿宋"/>
          <w:color w:val="000000"/>
          <w:sz w:val="32"/>
          <w:szCs w:val="32"/>
        </w:rPr>
        <w:t xml:space="preserve">15.卫生健康支出（类）行政事业单位医疗（款）事业单 位医疗（项）: 指反映财政部门集中安排的事业单位基本医疗保险缴费经费，未参加医疗保险的事业单位的公费医疗经 费，按国家规定享受离休人员待遇的医疗经费。 </w:t>
      </w:r>
    </w:p>
    <w:p>
      <w:pPr>
        <w:spacing w:line="560" w:lineRule="exact"/>
        <w:ind w:firstLine="640" w:firstLineChars="200"/>
        <w:rPr>
          <w:rFonts w:eastAsia="仿宋"/>
          <w:color w:val="000000"/>
          <w:sz w:val="32"/>
          <w:szCs w:val="32"/>
        </w:rPr>
      </w:pPr>
      <w:r>
        <w:rPr>
          <w:rFonts w:hint="eastAsia" w:eastAsia="仿宋"/>
          <w:color w:val="000000"/>
          <w:sz w:val="32"/>
          <w:szCs w:val="32"/>
        </w:rPr>
        <w:t xml:space="preserve">16.卫生健康支出（类）行政事业单位医疗（款）公务员 医疗补助（项）: 指反映财政部门集中安排的公务员医疗补助经费。 </w:t>
      </w:r>
    </w:p>
    <w:p>
      <w:pPr>
        <w:spacing w:line="560" w:lineRule="exact"/>
        <w:ind w:firstLine="640" w:firstLineChars="200"/>
        <w:rPr>
          <w:rFonts w:eastAsia="仿宋"/>
          <w:color w:val="000000"/>
          <w:sz w:val="32"/>
          <w:szCs w:val="32"/>
        </w:rPr>
      </w:pPr>
      <w:r>
        <w:rPr>
          <w:rFonts w:hint="eastAsia" w:eastAsia="仿宋"/>
          <w:color w:val="000000"/>
          <w:sz w:val="32"/>
          <w:szCs w:val="32"/>
        </w:rPr>
        <w:t>17.住房保障支出（类）住房改革（款）住房公积金（项）: 指反映行政事业单位按人力资源和社会保障部、财政部规定的基本工资和津贴补贴以及规定比例为职工缴纳的住房公积金。</w:t>
      </w:r>
    </w:p>
    <w:p>
      <w:pPr>
        <w:spacing w:line="560" w:lineRule="exact"/>
        <w:ind w:firstLine="640" w:firstLineChars="200"/>
        <w:rPr>
          <w:rFonts w:eastAsia="仿宋"/>
          <w:color w:val="000000"/>
          <w:sz w:val="32"/>
          <w:szCs w:val="32"/>
        </w:rPr>
      </w:pPr>
      <w:r>
        <w:rPr>
          <w:rFonts w:hint="eastAsia" w:eastAsia="仿宋"/>
          <w:color w:val="000000"/>
          <w:sz w:val="32"/>
          <w:szCs w:val="32"/>
        </w:rPr>
        <w:t>18</w:t>
      </w:r>
      <w:r>
        <w:rPr>
          <w:rFonts w:eastAsia="仿宋"/>
          <w:color w:val="000000"/>
          <w:sz w:val="32"/>
          <w:szCs w:val="32"/>
        </w:rPr>
        <w:t>.</w:t>
      </w:r>
      <w:r>
        <w:rPr>
          <w:rFonts w:hint="eastAsia" w:eastAsia="仿宋"/>
          <w:color w:val="000000"/>
          <w:sz w:val="32"/>
          <w:szCs w:val="32"/>
        </w:rPr>
        <w:t>基本支出：指为保障机构正常运转、完成日常工作任务而发生的人员支出和公用支出。</w:t>
      </w:r>
    </w:p>
    <w:p>
      <w:pPr>
        <w:spacing w:line="560" w:lineRule="exact"/>
        <w:ind w:firstLine="640" w:firstLineChars="200"/>
        <w:rPr>
          <w:rFonts w:eastAsia="仿宋"/>
          <w:color w:val="000000"/>
          <w:sz w:val="32"/>
          <w:szCs w:val="32"/>
        </w:rPr>
      </w:pPr>
      <w:r>
        <w:rPr>
          <w:rFonts w:hint="eastAsia" w:eastAsia="仿宋"/>
          <w:color w:val="000000"/>
          <w:sz w:val="32"/>
          <w:szCs w:val="32"/>
        </w:rPr>
        <w:t>19</w:t>
      </w:r>
      <w:r>
        <w:rPr>
          <w:rFonts w:eastAsia="仿宋"/>
          <w:color w:val="000000"/>
          <w:sz w:val="32"/>
          <w:szCs w:val="32"/>
        </w:rPr>
        <w:t>.</w:t>
      </w:r>
      <w:r>
        <w:rPr>
          <w:rFonts w:hint="eastAsia" w:eastAsia="仿宋"/>
          <w:color w:val="000000"/>
          <w:sz w:val="32"/>
          <w:szCs w:val="32"/>
        </w:rPr>
        <w:t>项目支出：指在基本支出之外为完成特定行政任务和事业发展目标所发生的支出。</w:t>
      </w:r>
    </w:p>
    <w:p>
      <w:pPr>
        <w:pStyle w:val="23"/>
        <w:spacing w:line="560" w:lineRule="exact"/>
        <w:ind w:firstLine="640" w:firstLineChars="200"/>
        <w:rPr>
          <w:rFonts w:ascii="Times New Roman" w:hAnsi="Times New Roman"/>
          <w:sz w:val="32"/>
          <w:szCs w:val="32"/>
        </w:rPr>
      </w:pPr>
      <w:r>
        <w:rPr>
          <w:rFonts w:ascii="Times New Roman" w:hAnsi="Times New Roman"/>
          <w:sz w:val="32"/>
          <w:szCs w:val="32"/>
        </w:rPr>
        <w:t>20.</w:t>
      </w:r>
      <w:r>
        <w:rPr>
          <w:rFonts w:hint="eastAsia" w:ascii="Times New Roman" w:hAnsi="Times New Roman"/>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Times New Roman" w:hAnsi="Times New Roman"/>
          <w:sz w:val="32"/>
          <w:szCs w:val="32"/>
        </w:rPr>
      </w:pPr>
      <w:r>
        <w:rPr>
          <w:rFonts w:ascii="Times New Roman" w:hAnsi="Times New Roman"/>
          <w:sz w:val="32"/>
          <w:szCs w:val="32"/>
        </w:rPr>
        <w:t>21.</w:t>
      </w:r>
      <w:r>
        <w:rPr>
          <w:rFonts w:hint="eastAsia" w:ascii="Times New Roman" w:hAnsi="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883" w:firstLineChars="200"/>
        <w:rPr>
          <w:rFonts w:eastAsia="仿宋"/>
          <w:b/>
          <w:color w:val="000000"/>
          <w:sz w:val="44"/>
          <w:szCs w:val="44"/>
        </w:rPr>
      </w:pPr>
      <w:r>
        <w:rPr>
          <w:rFonts w:eastAsia="仿宋"/>
          <w:b/>
          <w:color w:val="000000"/>
          <w:sz w:val="44"/>
          <w:szCs w:val="44"/>
        </w:rPr>
        <w:br w:type="page"/>
      </w:r>
      <w:bookmarkStart w:id="51" w:name="_Toc15396614"/>
      <w:bookmarkStart w:id="52" w:name="_Toc15377226"/>
    </w:p>
    <w:bookmarkEnd w:id="51"/>
    <w:p>
      <w:pPr>
        <w:spacing w:line="600" w:lineRule="exact"/>
        <w:jc w:val="center"/>
        <w:outlineLvl w:val="0"/>
        <w:rPr>
          <w:rFonts w:ascii="方正小标宋简体" w:hAnsi="黑体" w:eastAsia="方正小标宋简体"/>
          <w:b/>
          <w:sz w:val="44"/>
          <w:szCs w:val="44"/>
        </w:rPr>
      </w:pPr>
      <w:bookmarkStart w:id="53" w:name="_Toc15396618"/>
    </w:p>
    <w:p>
      <w:pPr>
        <w:spacing w:line="600" w:lineRule="exact"/>
        <w:jc w:val="center"/>
        <w:outlineLvl w:val="0"/>
        <w:rPr>
          <w:rStyle w:val="25"/>
          <w:rFonts w:ascii="方正小标宋简体" w:hAnsi="黑体" w:eastAsia="方正小标宋简体"/>
        </w:rPr>
      </w:pPr>
      <w:r>
        <w:rPr>
          <w:rFonts w:hint="eastAsia" w:ascii="方正小标宋简体" w:hAnsi="黑体" w:eastAsia="方正小标宋简体"/>
          <w:sz w:val="44"/>
          <w:szCs w:val="44"/>
        </w:rPr>
        <w:t>第</w:t>
      </w:r>
      <w:r>
        <w:rPr>
          <w:rStyle w:val="25"/>
          <w:rFonts w:hint="eastAsia" w:ascii="方正小标宋简体" w:hAnsi="黑体" w:eastAsia="方正小标宋简体"/>
          <w:b w:val="0"/>
        </w:rPr>
        <w:t>四部分 附件</w:t>
      </w:r>
    </w:p>
    <w:p>
      <w:pPr>
        <w:spacing w:line="572" w:lineRule="exact"/>
        <w:jc w:val="left"/>
        <w:outlineLvl w:val="0"/>
        <w:rPr>
          <w:rFonts w:ascii="仿宋_GB2312" w:hAnsi="仿宋_GB2312" w:eastAsia="仿宋_GB2312" w:cs="仿宋_GB2312"/>
          <w:sz w:val="32"/>
          <w:szCs w:val="32"/>
        </w:rPr>
      </w:pPr>
      <w:r>
        <w:rPr>
          <w:rFonts w:hint="eastAsia" w:ascii="黑体" w:hAnsi="黑体" w:eastAsia="黑体" w:cs="黑体"/>
          <w:sz w:val="32"/>
          <w:szCs w:val="32"/>
        </w:rPr>
        <w:t>附件</w:t>
      </w:r>
    </w:p>
    <w:p>
      <w:pPr>
        <w:widowControl/>
        <w:adjustRightInd w:val="0"/>
        <w:snapToGrid w:val="0"/>
        <w:spacing w:line="580" w:lineRule="exact"/>
        <w:contextualSpacing/>
        <w:jc w:val="left"/>
        <w:rPr>
          <w:color w:val="000000"/>
          <w:kern w:val="0"/>
          <w:sz w:val="20"/>
          <w:szCs w:val="20"/>
          <w:shd w:val="clear" w:color="auto" w:fill="FFFFFF"/>
        </w:rPr>
      </w:pPr>
    </w:p>
    <w:tbl>
      <w:tblPr>
        <w:tblStyle w:val="12"/>
        <w:tblW w:w="9072" w:type="dxa"/>
        <w:jc w:val="center"/>
        <w:tblLayout w:type="autofit"/>
        <w:tblCellMar>
          <w:top w:w="0" w:type="dxa"/>
          <w:left w:w="108" w:type="dxa"/>
          <w:bottom w:w="0" w:type="dxa"/>
          <w:right w:w="108" w:type="dxa"/>
        </w:tblCellMar>
      </w:tblPr>
      <w:tblGrid>
        <w:gridCol w:w="701"/>
        <w:gridCol w:w="553"/>
        <w:gridCol w:w="268"/>
        <w:gridCol w:w="746"/>
        <w:gridCol w:w="553"/>
        <w:gridCol w:w="689"/>
        <w:gridCol w:w="1048"/>
        <w:gridCol w:w="228"/>
        <w:gridCol w:w="1451"/>
        <w:gridCol w:w="2835"/>
      </w:tblGrid>
      <w:tr>
        <w:tblPrEx>
          <w:tblCellMar>
            <w:top w:w="0" w:type="dxa"/>
            <w:left w:w="108" w:type="dxa"/>
            <w:bottom w:w="0" w:type="dxa"/>
            <w:right w:w="108" w:type="dxa"/>
          </w:tblCellMar>
        </w:tblPrEx>
        <w:trPr>
          <w:trHeight w:val="675" w:hRule="atLeast"/>
          <w:jc w:val="center"/>
        </w:trPr>
        <w:tc>
          <w:tcPr>
            <w:tcW w:w="9072" w:type="dxa"/>
            <w:gridSpan w:val="10"/>
            <w:tcBorders>
              <w:top w:val="nil"/>
              <w:left w:val="nil"/>
              <w:bottom w:val="nil"/>
              <w:right w:val="nil"/>
            </w:tcBorders>
            <w:vAlign w:val="center"/>
          </w:tcPr>
          <w:p>
            <w:pPr>
              <w:widowControl/>
              <w:jc w:val="center"/>
              <w:textAlignment w:val="center"/>
              <w:rPr>
                <w:rFonts w:asciiTheme="majorEastAsia" w:hAnsiTheme="majorEastAsia" w:eastAsiaTheme="majorEastAsia"/>
                <w:b/>
                <w:bCs/>
                <w:kern w:val="0"/>
                <w:sz w:val="24"/>
              </w:rPr>
            </w:pPr>
            <w:r>
              <w:rPr>
                <w:rFonts w:hint="eastAsia" w:asciiTheme="majorEastAsia" w:hAnsiTheme="majorEastAsia" w:eastAsiaTheme="majorEastAsia"/>
                <w:b/>
                <w:bCs/>
                <w:kern w:val="0"/>
                <w:sz w:val="24"/>
              </w:rPr>
              <w:t>2021年100万</w:t>
            </w:r>
            <w:r>
              <w:rPr>
                <w:rFonts w:asciiTheme="majorEastAsia" w:hAnsiTheme="majorEastAsia" w:eastAsiaTheme="majorEastAsia"/>
                <w:b/>
                <w:bCs/>
                <w:kern w:val="0"/>
                <w:sz w:val="24"/>
              </w:rPr>
              <w:t>元以上（含）特定</w:t>
            </w:r>
            <w:r>
              <w:rPr>
                <w:rFonts w:hint="eastAsia" w:asciiTheme="majorEastAsia" w:hAnsiTheme="majorEastAsia" w:eastAsiaTheme="majorEastAsia"/>
                <w:b/>
                <w:bCs/>
                <w:kern w:val="0"/>
                <w:sz w:val="24"/>
              </w:rPr>
              <w:t>目标</w:t>
            </w:r>
            <w:r>
              <w:rPr>
                <w:rFonts w:asciiTheme="majorEastAsia" w:hAnsiTheme="majorEastAsia" w:eastAsiaTheme="majorEastAsia"/>
                <w:b/>
                <w:bCs/>
                <w:kern w:val="0"/>
                <w:sz w:val="24"/>
              </w:rPr>
              <w:t>类部门项目绩效</w:t>
            </w:r>
            <w:r>
              <w:rPr>
                <w:rFonts w:hint="eastAsia" w:asciiTheme="majorEastAsia" w:hAnsiTheme="majorEastAsia" w:eastAsiaTheme="majorEastAsia"/>
                <w:b/>
                <w:bCs/>
                <w:kern w:val="0"/>
                <w:sz w:val="24"/>
              </w:rPr>
              <w:t>目标</w:t>
            </w:r>
            <w:r>
              <w:rPr>
                <w:rFonts w:asciiTheme="majorEastAsia" w:hAnsiTheme="majorEastAsia" w:eastAsiaTheme="majorEastAsia"/>
                <w:b/>
                <w:bCs/>
                <w:kern w:val="0"/>
                <w:sz w:val="24"/>
              </w:rPr>
              <w:t>自评</w:t>
            </w:r>
          </w:p>
          <w:p>
            <w:pPr>
              <w:widowControl/>
              <w:jc w:val="center"/>
              <w:textAlignment w:val="center"/>
              <w:rPr>
                <w:rFonts w:asciiTheme="majorEastAsia" w:hAnsiTheme="majorEastAsia" w:eastAsiaTheme="majorEastAsia"/>
                <w:b/>
                <w:bCs/>
                <w:kern w:val="0"/>
                <w:sz w:val="24"/>
              </w:rPr>
            </w:pPr>
            <w:r>
              <w:rPr>
                <w:rFonts w:asciiTheme="majorEastAsia" w:hAnsiTheme="majorEastAsia" w:eastAsiaTheme="majorEastAsia"/>
                <w:b/>
                <w:bCs/>
                <w:kern w:val="0"/>
                <w:sz w:val="24"/>
              </w:rPr>
              <w:t>（房屋租赁）</w:t>
            </w:r>
          </w:p>
          <w:p>
            <w:pPr>
              <w:widowControl/>
              <w:jc w:val="center"/>
              <w:textAlignment w:val="center"/>
              <w:rPr>
                <w:color w:val="000000"/>
                <w:kern w:val="0"/>
                <w:sz w:val="20"/>
                <w:szCs w:val="20"/>
                <w:lang w:bidi="ar"/>
              </w:rPr>
            </w:pPr>
          </w:p>
        </w:tc>
      </w:tr>
      <w:tr>
        <w:tblPrEx>
          <w:tblCellMar>
            <w:top w:w="0" w:type="dxa"/>
            <w:left w:w="108" w:type="dxa"/>
            <w:bottom w:w="0" w:type="dxa"/>
            <w:right w:w="108" w:type="dxa"/>
          </w:tblCellMar>
        </w:tblPrEx>
        <w:trPr>
          <w:trHeight w:val="694" w:hRule="atLeast"/>
          <w:jc w:val="center"/>
        </w:trPr>
        <w:tc>
          <w:tcPr>
            <w:tcW w:w="125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Cs/>
                <w:color w:val="000000"/>
                <w:sz w:val="20"/>
                <w:szCs w:val="20"/>
              </w:rPr>
            </w:pPr>
            <w:r>
              <w:rPr>
                <w:bCs/>
                <w:color w:val="000000"/>
                <w:kern w:val="0"/>
                <w:sz w:val="20"/>
                <w:szCs w:val="20"/>
                <w:lang w:bidi="ar"/>
              </w:rPr>
              <w:t>主管部门及代码</w:t>
            </w:r>
          </w:p>
        </w:tc>
        <w:tc>
          <w:tcPr>
            <w:tcW w:w="225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sz w:val="20"/>
                <w:szCs w:val="20"/>
              </w:rPr>
            </w:pPr>
            <w:r>
              <w:rPr>
                <w:color w:val="000000"/>
                <w:sz w:val="20"/>
                <w:szCs w:val="20"/>
              </w:rPr>
              <w:t>四川省经济合作局</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Cs/>
                <w:color w:val="000000"/>
                <w:kern w:val="0"/>
                <w:sz w:val="20"/>
                <w:szCs w:val="20"/>
                <w:lang w:bidi="ar"/>
              </w:rPr>
            </w:pPr>
            <w:r>
              <w:rPr>
                <w:bCs/>
                <w:color w:val="000000"/>
                <w:kern w:val="0"/>
                <w:sz w:val="20"/>
                <w:szCs w:val="20"/>
                <w:lang w:bidi="ar"/>
              </w:rPr>
              <w:t>实施单位</w:t>
            </w:r>
          </w:p>
        </w:tc>
        <w:tc>
          <w:tcPr>
            <w:tcW w:w="428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color w:val="000000"/>
                <w:sz w:val="20"/>
                <w:szCs w:val="20"/>
              </w:rPr>
            </w:pPr>
            <w:r>
              <w:rPr>
                <w:color w:val="000000"/>
                <w:sz w:val="20"/>
                <w:szCs w:val="20"/>
              </w:rPr>
              <w:t>四川省人民政府驻广州办事处</w:t>
            </w:r>
          </w:p>
        </w:tc>
      </w:tr>
      <w:tr>
        <w:tblPrEx>
          <w:tblCellMar>
            <w:top w:w="0" w:type="dxa"/>
            <w:left w:w="108" w:type="dxa"/>
            <w:bottom w:w="0" w:type="dxa"/>
            <w:right w:w="108" w:type="dxa"/>
          </w:tblCellMar>
        </w:tblPrEx>
        <w:trPr>
          <w:trHeight w:val="341" w:hRule="atLeast"/>
          <w:jc w:val="center"/>
        </w:trPr>
        <w:tc>
          <w:tcPr>
            <w:tcW w:w="70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Cs/>
                <w:color w:val="000000"/>
                <w:sz w:val="20"/>
                <w:szCs w:val="20"/>
              </w:rPr>
            </w:pPr>
            <w:r>
              <w:rPr>
                <w:bCs/>
                <w:color w:val="000000"/>
                <w:kern w:val="0"/>
                <w:sz w:val="20"/>
                <w:szCs w:val="20"/>
                <w:lang w:bidi="ar"/>
              </w:rPr>
              <w:t>项目预算</w:t>
            </w:r>
            <w:r>
              <w:rPr>
                <w:bCs/>
                <w:color w:val="000000"/>
                <w:kern w:val="0"/>
                <w:sz w:val="20"/>
                <w:szCs w:val="20"/>
                <w:lang w:bidi="ar"/>
              </w:rPr>
              <w:br w:type="textWrapping"/>
            </w:r>
            <w:r>
              <w:rPr>
                <w:bCs/>
                <w:color w:val="000000"/>
                <w:kern w:val="0"/>
                <w:sz w:val="20"/>
                <w:szCs w:val="20"/>
                <w:lang w:bidi="ar"/>
              </w:rPr>
              <w:t>执行情况</w:t>
            </w:r>
            <w:r>
              <w:rPr>
                <w:bCs/>
                <w:color w:val="000000"/>
                <w:kern w:val="0"/>
                <w:sz w:val="20"/>
                <w:szCs w:val="20"/>
                <w:lang w:bidi="ar"/>
              </w:rPr>
              <w:br w:type="textWrapping"/>
            </w:r>
            <w:r>
              <w:rPr>
                <w:bCs/>
                <w:color w:val="000000"/>
                <w:kern w:val="0"/>
                <w:sz w:val="20"/>
                <w:szCs w:val="20"/>
                <w:lang w:bidi="ar"/>
              </w:rPr>
              <w:t>（万元）</w:t>
            </w:r>
          </w:p>
        </w:tc>
        <w:tc>
          <w:tcPr>
            <w:tcW w:w="156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bCs/>
                <w:color w:val="000000"/>
                <w:kern w:val="0"/>
                <w:sz w:val="20"/>
                <w:szCs w:val="20"/>
                <w:lang w:bidi="ar"/>
              </w:rPr>
            </w:pPr>
            <w:r>
              <w:rPr>
                <w:bCs/>
                <w:color w:val="000000"/>
                <w:kern w:val="0"/>
                <w:sz w:val="20"/>
                <w:szCs w:val="20"/>
                <w:lang w:bidi="ar"/>
              </w:rPr>
              <w:t>预算数：</w:t>
            </w:r>
          </w:p>
        </w:tc>
        <w:tc>
          <w:tcPr>
            <w:tcW w:w="229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sz w:val="20"/>
                <w:szCs w:val="20"/>
              </w:rPr>
            </w:pPr>
            <w:r>
              <w:rPr>
                <w:sz w:val="20"/>
                <w:szCs w:val="20"/>
              </w:rPr>
              <w:t>200.00</w:t>
            </w:r>
          </w:p>
        </w:tc>
        <w:tc>
          <w:tcPr>
            <w:tcW w:w="16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bCs/>
                <w:color w:val="000000"/>
                <w:kern w:val="0"/>
                <w:sz w:val="20"/>
                <w:szCs w:val="20"/>
                <w:lang w:bidi="ar"/>
              </w:rPr>
            </w:pPr>
            <w:r>
              <w:rPr>
                <w:bCs/>
                <w:color w:val="000000"/>
                <w:kern w:val="0"/>
                <w:sz w:val="20"/>
                <w:szCs w:val="20"/>
                <w:lang w:bidi="ar"/>
              </w:rPr>
              <w:t>执行数：</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color w:val="000000"/>
                <w:sz w:val="20"/>
                <w:szCs w:val="20"/>
              </w:rPr>
            </w:pPr>
            <w:r>
              <w:rPr>
                <w:color w:val="000000"/>
                <w:sz w:val="20"/>
                <w:szCs w:val="20"/>
              </w:rPr>
              <w:t>200.00</w:t>
            </w:r>
          </w:p>
        </w:tc>
      </w:tr>
      <w:tr>
        <w:tblPrEx>
          <w:tblCellMar>
            <w:top w:w="0" w:type="dxa"/>
            <w:left w:w="108" w:type="dxa"/>
            <w:bottom w:w="0" w:type="dxa"/>
            <w:right w:w="108" w:type="dxa"/>
          </w:tblCellMar>
        </w:tblPrEx>
        <w:trPr>
          <w:trHeight w:val="577"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color w:val="000000"/>
                <w:sz w:val="20"/>
                <w:szCs w:val="20"/>
              </w:rPr>
            </w:pPr>
          </w:p>
        </w:tc>
        <w:tc>
          <w:tcPr>
            <w:tcW w:w="156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bCs/>
                <w:color w:val="000000"/>
                <w:kern w:val="0"/>
                <w:sz w:val="20"/>
                <w:szCs w:val="20"/>
                <w:lang w:bidi="ar"/>
              </w:rPr>
            </w:pPr>
            <w:r>
              <w:rPr>
                <w:bCs/>
                <w:color w:val="000000"/>
                <w:kern w:val="0"/>
                <w:sz w:val="20"/>
                <w:szCs w:val="20"/>
                <w:lang w:bidi="ar"/>
              </w:rPr>
              <w:t>其中：财政拨款</w:t>
            </w:r>
          </w:p>
        </w:tc>
        <w:tc>
          <w:tcPr>
            <w:tcW w:w="229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sz w:val="20"/>
                <w:szCs w:val="20"/>
              </w:rPr>
            </w:pPr>
            <w:r>
              <w:rPr>
                <w:sz w:val="20"/>
                <w:szCs w:val="20"/>
              </w:rPr>
              <w:t>200.00</w:t>
            </w:r>
          </w:p>
        </w:tc>
        <w:tc>
          <w:tcPr>
            <w:tcW w:w="16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bCs/>
                <w:color w:val="000000"/>
                <w:kern w:val="0"/>
                <w:sz w:val="20"/>
                <w:szCs w:val="20"/>
                <w:lang w:bidi="ar"/>
              </w:rPr>
            </w:pPr>
            <w:r>
              <w:rPr>
                <w:bCs/>
                <w:color w:val="000000"/>
                <w:kern w:val="0"/>
                <w:sz w:val="20"/>
                <w:szCs w:val="20"/>
                <w:lang w:bidi="ar"/>
              </w:rPr>
              <w:t>其中：财政拨款</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color w:val="000000"/>
                <w:sz w:val="20"/>
                <w:szCs w:val="20"/>
              </w:rPr>
            </w:pPr>
            <w:r>
              <w:rPr>
                <w:color w:val="000000"/>
                <w:sz w:val="20"/>
                <w:szCs w:val="20"/>
              </w:rPr>
              <w:t>200.00</w:t>
            </w:r>
          </w:p>
        </w:tc>
      </w:tr>
      <w:tr>
        <w:tblPrEx>
          <w:tblCellMar>
            <w:top w:w="0" w:type="dxa"/>
            <w:left w:w="108" w:type="dxa"/>
            <w:bottom w:w="0" w:type="dxa"/>
            <w:right w:w="108" w:type="dxa"/>
          </w:tblCellMar>
        </w:tblPrEx>
        <w:trPr>
          <w:trHeight w:val="90"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color w:val="000000"/>
                <w:sz w:val="20"/>
                <w:szCs w:val="20"/>
              </w:rPr>
            </w:pPr>
          </w:p>
        </w:tc>
        <w:tc>
          <w:tcPr>
            <w:tcW w:w="156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bCs/>
                <w:color w:val="000000"/>
                <w:kern w:val="0"/>
                <w:sz w:val="20"/>
                <w:szCs w:val="20"/>
                <w:lang w:bidi="ar"/>
              </w:rPr>
            </w:pPr>
            <w:r>
              <w:rPr>
                <w:bCs/>
                <w:color w:val="000000"/>
                <w:kern w:val="0"/>
                <w:sz w:val="20"/>
                <w:szCs w:val="20"/>
                <w:lang w:bidi="ar"/>
              </w:rPr>
              <w:t>其他资金</w:t>
            </w:r>
          </w:p>
        </w:tc>
        <w:tc>
          <w:tcPr>
            <w:tcW w:w="229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sz w:val="20"/>
                <w:szCs w:val="20"/>
              </w:rPr>
            </w:pPr>
            <w:r>
              <w:rPr>
                <w:sz w:val="20"/>
                <w:szCs w:val="20"/>
              </w:rPr>
              <w:t>0.00</w:t>
            </w:r>
          </w:p>
        </w:tc>
        <w:tc>
          <w:tcPr>
            <w:tcW w:w="16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bCs/>
                <w:color w:val="000000"/>
                <w:kern w:val="0"/>
                <w:sz w:val="20"/>
                <w:szCs w:val="20"/>
                <w:lang w:bidi="ar"/>
              </w:rPr>
            </w:pPr>
            <w:r>
              <w:rPr>
                <w:bCs/>
                <w:color w:val="000000"/>
                <w:kern w:val="0"/>
                <w:sz w:val="20"/>
                <w:szCs w:val="20"/>
                <w:lang w:bidi="ar"/>
              </w:rPr>
              <w:t>其他资金</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color w:val="000000"/>
                <w:sz w:val="20"/>
                <w:szCs w:val="20"/>
              </w:rPr>
            </w:pPr>
            <w:r>
              <w:rPr>
                <w:color w:val="000000"/>
                <w:sz w:val="20"/>
                <w:szCs w:val="20"/>
              </w:rPr>
              <w:t>0.00</w:t>
            </w:r>
          </w:p>
        </w:tc>
      </w:tr>
      <w:tr>
        <w:tblPrEx>
          <w:tblCellMar>
            <w:top w:w="0" w:type="dxa"/>
            <w:left w:w="108" w:type="dxa"/>
            <w:bottom w:w="0" w:type="dxa"/>
            <w:right w:w="108" w:type="dxa"/>
          </w:tblCellMar>
        </w:tblPrEx>
        <w:trPr>
          <w:trHeight w:val="552" w:hRule="atLeast"/>
          <w:jc w:val="center"/>
        </w:trPr>
        <w:tc>
          <w:tcPr>
            <w:tcW w:w="70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Cs/>
                <w:color w:val="000000"/>
                <w:kern w:val="0"/>
                <w:sz w:val="20"/>
                <w:szCs w:val="20"/>
                <w:lang w:bidi="ar"/>
              </w:rPr>
            </w:pPr>
            <w:r>
              <w:rPr>
                <w:bCs/>
                <w:color w:val="000000"/>
                <w:kern w:val="0"/>
                <w:sz w:val="20"/>
                <w:szCs w:val="20"/>
                <w:lang w:bidi="ar"/>
              </w:rPr>
              <w:t>年度总体目标</w:t>
            </w:r>
          </w:p>
          <w:p>
            <w:pPr>
              <w:widowControl/>
              <w:spacing w:line="320" w:lineRule="exact"/>
              <w:jc w:val="center"/>
              <w:textAlignment w:val="center"/>
              <w:rPr>
                <w:bCs/>
                <w:color w:val="000000"/>
                <w:kern w:val="0"/>
                <w:sz w:val="20"/>
                <w:szCs w:val="20"/>
                <w:lang w:bidi="ar"/>
              </w:rPr>
            </w:pPr>
            <w:r>
              <w:rPr>
                <w:bCs/>
                <w:color w:val="000000"/>
                <w:kern w:val="0"/>
                <w:sz w:val="20"/>
                <w:szCs w:val="20"/>
                <w:lang w:bidi="ar"/>
              </w:rPr>
              <w:t>完成情况</w:t>
            </w:r>
          </w:p>
        </w:tc>
        <w:tc>
          <w:tcPr>
            <w:tcW w:w="3857"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Cs/>
                <w:color w:val="000000"/>
                <w:kern w:val="0"/>
                <w:sz w:val="20"/>
                <w:szCs w:val="20"/>
                <w:lang w:bidi="ar"/>
              </w:rPr>
            </w:pPr>
            <w:r>
              <w:rPr>
                <w:bCs/>
                <w:color w:val="000000"/>
                <w:kern w:val="0"/>
                <w:sz w:val="20"/>
                <w:szCs w:val="20"/>
                <w:lang w:bidi="ar"/>
              </w:rPr>
              <w:t>预期目标</w:t>
            </w:r>
          </w:p>
        </w:tc>
        <w:tc>
          <w:tcPr>
            <w:tcW w:w="451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Cs/>
                <w:color w:val="000000"/>
                <w:kern w:val="0"/>
                <w:sz w:val="20"/>
                <w:szCs w:val="20"/>
                <w:lang w:bidi="ar"/>
              </w:rPr>
            </w:pPr>
            <w:r>
              <w:rPr>
                <w:bCs/>
                <w:color w:val="000000"/>
                <w:kern w:val="0"/>
                <w:sz w:val="20"/>
                <w:szCs w:val="20"/>
                <w:lang w:bidi="ar"/>
              </w:rPr>
              <w:t>目标实际完成情况</w:t>
            </w:r>
          </w:p>
        </w:tc>
      </w:tr>
      <w:tr>
        <w:tblPrEx>
          <w:tblCellMar>
            <w:top w:w="0" w:type="dxa"/>
            <w:left w:w="108" w:type="dxa"/>
            <w:bottom w:w="0" w:type="dxa"/>
            <w:right w:w="108" w:type="dxa"/>
          </w:tblCellMar>
        </w:tblPrEx>
        <w:trPr>
          <w:trHeight w:val="632"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Cs/>
                <w:color w:val="000000"/>
                <w:kern w:val="0"/>
                <w:sz w:val="20"/>
                <w:szCs w:val="20"/>
                <w:lang w:bidi="ar"/>
              </w:rPr>
            </w:pPr>
          </w:p>
        </w:tc>
        <w:tc>
          <w:tcPr>
            <w:tcW w:w="3857"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top"/>
              <w:rPr>
                <w:color w:val="000000"/>
                <w:sz w:val="20"/>
                <w:szCs w:val="20"/>
              </w:rPr>
            </w:pPr>
            <w:r>
              <w:rPr>
                <w:color w:val="000000"/>
                <w:sz w:val="20"/>
                <w:szCs w:val="20"/>
              </w:rPr>
              <w:t>保证办事处及联络处日常办公和职工工作生活需求，租用办公用房和职工食堂。改善广州办事处对外形象，完成招商引资目标任务1200亿元，四川省委办公厅信息处信息考核目标任务10分；凝聚川商力量，助推川货出川；发挥办事处四川省法律援助广东工作站、四川（广东）妇女之家、四川外出务工人员（广东）服务中心作用，积极开展农民工就业、维权救助、关爱慰问等工作。</w:t>
            </w:r>
          </w:p>
        </w:tc>
        <w:tc>
          <w:tcPr>
            <w:tcW w:w="4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color w:val="000000"/>
                <w:sz w:val="20"/>
                <w:szCs w:val="20"/>
              </w:rPr>
            </w:pPr>
            <w:r>
              <w:rPr>
                <w:color w:val="000000"/>
                <w:sz w:val="20"/>
                <w:szCs w:val="20"/>
              </w:rPr>
              <w:t>保证办事处及联络处日常办公和职工工作生活需求，租用办公用房和职工食堂。改善广州办事处对外形象，完成招商引资目标任务3900亿元，四川省委办公厅信息处信息考核目标任务10分；凝聚川商力量，助推川货出川；发挥办事处四川省法律援助广东工作站、四川（广东）妇女之家、四川外出务工人员（广东）服务中心作用，积极开展农民工就业、维权救助、关爱慰问等工作。</w:t>
            </w:r>
          </w:p>
        </w:tc>
      </w:tr>
      <w:tr>
        <w:tblPrEx>
          <w:tblCellMar>
            <w:top w:w="0" w:type="dxa"/>
            <w:left w:w="108" w:type="dxa"/>
            <w:bottom w:w="0" w:type="dxa"/>
            <w:right w:w="108" w:type="dxa"/>
          </w:tblCellMar>
        </w:tblPrEx>
        <w:trPr>
          <w:trHeight w:val="773" w:hRule="atLeast"/>
          <w:jc w:val="center"/>
        </w:trPr>
        <w:tc>
          <w:tcPr>
            <w:tcW w:w="701"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bCs/>
                <w:color w:val="000000"/>
                <w:kern w:val="0"/>
                <w:sz w:val="20"/>
                <w:szCs w:val="20"/>
                <w:lang w:bidi="ar"/>
              </w:rPr>
            </w:pPr>
            <w:r>
              <w:rPr>
                <w:bCs/>
                <w:color w:val="000000"/>
                <w:kern w:val="0"/>
                <w:sz w:val="20"/>
                <w:szCs w:val="20"/>
                <w:lang w:bidi="ar"/>
              </w:rPr>
              <w:t>年</w:t>
            </w:r>
          </w:p>
          <w:p>
            <w:pPr>
              <w:widowControl/>
              <w:spacing w:line="320" w:lineRule="exact"/>
              <w:jc w:val="center"/>
              <w:textAlignment w:val="center"/>
              <w:rPr>
                <w:bCs/>
                <w:color w:val="000000"/>
                <w:kern w:val="0"/>
                <w:sz w:val="20"/>
                <w:szCs w:val="20"/>
                <w:lang w:bidi="ar"/>
              </w:rPr>
            </w:pPr>
            <w:r>
              <w:rPr>
                <w:bCs/>
                <w:color w:val="000000"/>
                <w:kern w:val="0"/>
                <w:sz w:val="20"/>
                <w:szCs w:val="20"/>
                <w:lang w:bidi="ar"/>
              </w:rPr>
              <w:t>度</w:t>
            </w:r>
          </w:p>
          <w:p>
            <w:pPr>
              <w:widowControl/>
              <w:spacing w:line="320" w:lineRule="exact"/>
              <w:jc w:val="center"/>
              <w:textAlignment w:val="center"/>
              <w:rPr>
                <w:bCs/>
                <w:color w:val="000000"/>
                <w:kern w:val="0"/>
                <w:sz w:val="20"/>
                <w:szCs w:val="20"/>
                <w:lang w:bidi="ar"/>
              </w:rPr>
            </w:pPr>
            <w:r>
              <w:rPr>
                <w:bCs/>
                <w:color w:val="000000"/>
                <w:kern w:val="0"/>
                <w:sz w:val="20"/>
                <w:szCs w:val="20"/>
                <w:lang w:bidi="ar"/>
              </w:rPr>
              <w:t>绩</w:t>
            </w:r>
          </w:p>
          <w:p>
            <w:pPr>
              <w:widowControl/>
              <w:spacing w:line="320" w:lineRule="exact"/>
              <w:jc w:val="center"/>
              <w:textAlignment w:val="center"/>
              <w:rPr>
                <w:bCs/>
                <w:color w:val="000000"/>
                <w:kern w:val="0"/>
                <w:sz w:val="20"/>
                <w:szCs w:val="20"/>
                <w:lang w:bidi="ar"/>
              </w:rPr>
            </w:pPr>
            <w:r>
              <w:rPr>
                <w:bCs/>
                <w:color w:val="000000"/>
                <w:kern w:val="0"/>
                <w:sz w:val="20"/>
                <w:szCs w:val="20"/>
                <w:lang w:bidi="ar"/>
              </w:rPr>
              <w:t>效</w:t>
            </w:r>
          </w:p>
          <w:p>
            <w:pPr>
              <w:widowControl/>
              <w:spacing w:line="320" w:lineRule="exact"/>
              <w:jc w:val="center"/>
              <w:textAlignment w:val="center"/>
              <w:rPr>
                <w:bCs/>
                <w:color w:val="000000"/>
                <w:kern w:val="0"/>
                <w:sz w:val="20"/>
                <w:szCs w:val="20"/>
                <w:lang w:bidi="ar"/>
              </w:rPr>
            </w:pPr>
            <w:r>
              <w:rPr>
                <w:bCs/>
                <w:color w:val="000000"/>
                <w:kern w:val="0"/>
                <w:sz w:val="20"/>
                <w:szCs w:val="20"/>
                <w:lang w:bidi="ar"/>
              </w:rPr>
              <w:t>指</w:t>
            </w:r>
          </w:p>
          <w:p>
            <w:pPr>
              <w:widowControl/>
              <w:spacing w:line="320" w:lineRule="exact"/>
              <w:jc w:val="center"/>
              <w:textAlignment w:val="center"/>
              <w:rPr>
                <w:bCs/>
                <w:color w:val="000000"/>
                <w:kern w:val="0"/>
                <w:sz w:val="20"/>
                <w:szCs w:val="20"/>
                <w:lang w:bidi="ar"/>
              </w:rPr>
            </w:pPr>
            <w:r>
              <w:rPr>
                <w:bCs/>
                <w:color w:val="000000"/>
                <w:kern w:val="0"/>
                <w:sz w:val="20"/>
                <w:szCs w:val="20"/>
                <w:lang w:bidi="ar"/>
              </w:rPr>
              <w:t>标</w:t>
            </w:r>
          </w:p>
          <w:p>
            <w:pPr>
              <w:widowControl/>
              <w:spacing w:line="320" w:lineRule="exact"/>
              <w:jc w:val="center"/>
              <w:textAlignment w:val="center"/>
              <w:rPr>
                <w:bCs/>
                <w:color w:val="000000"/>
                <w:kern w:val="0"/>
                <w:sz w:val="20"/>
                <w:szCs w:val="20"/>
                <w:lang w:bidi="ar"/>
              </w:rPr>
            </w:pPr>
            <w:r>
              <w:rPr>
                <w:bCs/>
                <w:color w:val="000000"/>
                <w:kern w:val="0"/>
                <w:sz w:val="20"/>
                <w:szCs w:val="20"/>
                <w:lang w:bidi="ar"/>
              </w:rPr>
              <w:t>完</w:t>
            </w:r>
          </w:p>
          <w:p>
            <w:pPr>
              <w:widowControl/>
              <w:spacing w:line="320" w:lineRule="exact"/>
              <w:jc w:val="center"/>
              <w:textAlignment w:val="center"/>
              <w:rPr>
                <w:bCs/>
                <w:color w:val="000000"/>
                <w:kern w:val="0"/>
                <w:sz w:val="20"/>
                <w:szCs w:val="20"/>
                <w:lang w:bidi="ar"/>
              </w:rPr>
            </w:pPr>
            <w:r>
              <w:rPr>
                <w:bCs/>
                <w:color w:val="000000"/>
                <w:kern w:val="0"/>
                <w:sz w:val="20"/>
                <w:szCs w:val="20"/>
                <w:lang w:bidi="ar"/>
              </w:rPr>
              <w:t>成</w:t>
            </w:r>
          </w:p>
          <w:p>
            <w:pPr>
              <w:widowControl/>
              <w:spacing w:line="320" w:lineRule="exact"/>
              <w:jc w:val="center"/>
              <w:textAlignment w:val="center"/>
              <w:rPr>
                <w:bCs/>
                <w:color w:val="000000"/>
                <w:kern w:val="0"/>
                <w:sz w:val="20"/>
                <w:szCs w:val="20"/>
                <w:lang w:bidi="ar"/>
              </w:rPr>
            </w:pPr>
            <w:r>
              <w:rPr>
                <w:bCs/>
                <w:color w:val="000000"/>
                <w:kern w:val="0"/>
                <w:sz w:val="20"/>
                <w:szCs w:val="20"/>
                <w:lang w:bidi="ar"/>
              </w:rPr>
              <w:t>情</w:t>
            </w:r>
          </w:p>
          <w:p>
            <w:pPr>
              <w:widowControl/>
              <w:spacing w:line="320" w:lineRule="exact"/>
              <w:jc w:val="center"/>
              <w:textAlignment w:val="center"/>
              <w:rPr>
                <w:bCs/>
                <w:color w:val="000000"/>
                <w:kern w:val="0"/>
                <w:sz w:val="20"/>
                <w:szCs w:val="20"/>
                <w:lang w:bidi="ar"/>
              </w:rPr>
            </w:pPr>
            <w:r>
              <w:rPr>
                <w:bCs/>
                <w:color w:val="000000"/>
                <w:kern w:val="0"/>
                <w:sz w:val="20"/>
                <w:szCs w:val="20"/>
                <w:lang w:bidi="ar"/>
              </w:rPr>
              <w:t>况</w:t>
            </w:r>
          </w:p>
        </w:tc>
        <w:tc>
          <w:tcPr>
            <w:tcW w:w="821" w:type="dxa"/>
            <w:gridSpan w:val="2"/>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bCs/>
                <w:color w:val="000000"/>
                <w:kern w:val="0"/>
                <w:sz w:val="20"/>
                <w:szCs w:val="20"/>
                <w:lang w:bidi="ar"/>
              </w:rPr>
            </w:pPr>
            <w:r>
              <w:rPr>
                <w:bCs/>
                <w:color w:val="000000"/>
                <w:kern w:val="0"/>
                <w:sz w:val="20"/>
                <w:szCs w:val="20"/>
                <w:lang w:bidi="ar"/>
              </w:rPr>
              <w:t>一级</w:t>
            </w:r>
          </w:p>
          <w:p>
            <w:pPr>
              <w:widowControl/>
              <w:spacing w:line="320" w:lineRule="exact"/>
              <w:jc w:val="center"/>
              <w:textAlignment w:val="center"/>
              <w:rPr>
                <w:bCs/>
                <w:color w:val="000000"/>
                <w:kern w:val="0"/>
                <w:sz w:val="20"/>
                <w:szCs w:val="20"/>
                <w:lang w:bidi="ar"/>
              </w:rPr>
            </w:pPr>
            <w:r>
              <w:rPr>
                <w:bCs/>
                <w:color w:val="000000"/>
                <w:kern w:val="0"/>
                <w:sz w:val="20"/>
                <w:szCs w:val="20"/>
                <w:lang w:bidi="ar"/>
              </w:rPr>
              <w:t>指标</w:t>
            </w:r>
          </w:p>
        </w:tc>
        <w:tc>
          <w:tcPr>
            <w:tcW w:w="129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Cs/>
                <w:color w:val="000000"/>
                <w:kern w:val="0"/>
                <w:sz w:val="20"/>
                <w:szCs w:val="20"/>
                <w:lang w:bidi="ar"/>
              </w:rPr>
            </w:pPr>
            <w:r>
              <w:rPr>
                <w:bCs/>
                <w:color w:val="000000"/>
                <w:kern w:val="0"/>
                <w:sz w:val="20"/>
                <w:szCs w:val="20"/>
                <w:lang w:bidi="ar"/>
              </w:rPr>
              <w:t>二级指标</w:t>
            </w:r>
          </w:p>
        </w:tc>
        <w:tc>
          <w:tcPr>
            <w:tcW w:w="173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Cs/>
                <w:color w:val="000000"/>
                <w:kern w:val="0"/>
                <w:sz w:val="20"/>
                <w:szCs w:val="20"/>
                <w:lang w:bidi="ar"/>
              </w:rPr>
            </w:pPr>
            <w:r>
              <w:rPr>
                <w:bCs/>
                <w:color w:val="000000"/>
                <w:kern w:val="0"/>
                <w:sz w:val="20"/>
                <w:szCs w:val="20"/>
                <w:lang w:bidi="ar"/>
              </w:rPr>
              <w:t>三级指标</w:t>
            </w:r>
          </w:p>
        </w:tc>
        <w:tc>
          <w:tcPr>
            <w:tcW w:w="16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Cs/>
                <w:color w:val="000000"/>
                <w:kern w:val="0"/>
                <w:sz w:val="20"/>
                <w:szCs w:val="20"/>
                <w:lang w:bidi="ar"/>
              </w:rPr>
            </w:pPr>
            <w:r>
              <w:rPr>
                <w:bCs/>
                <w:color w:val="000000"/>
                <w:kern w:val="0"/>
                <w:sz w:val="20"/>
                <w:szCs w:val="20"/>
                <w:lang w:bidi="ar"/>
              </w:rPr>
              <w:t>预期指标值</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Cs/>
                <w:color w:val="000000"/>
                <w:kern w:val="0"/>
                <w:sz w:val="20"/>
                <w:szCs w:val="20"/>
                <w:lang w:bidi="ar"/>
              </w:rPr>
            </w:pPr>
            <w:r>
              <w:rPr>
                <w:bCs/>
                <w:color w:val="000000"/>
                <w:kern w:val="0"/>
                <w:sz w:val="20"/>
                <w:szCs w:val="20"/>
                <w:lang w:bidi="ar"/>
              </w:rPr>
              <w:t>实际完成指标值</w:t>
            </w:r>
          </w:p>
        </w:tc>
      </w:tr>
      <w:tr>
        <w:tblPrEx>
          <w:tblCellMar>
            <w:top w:w="0" w:type="dxa"/>
            <w:left w:w="108" w:type="dxa"/>
            <w:bottom w:w="0" w:type="dxa"/>
            <w:right w:w="108" w:type="dxa"/>
          </w:tblCellMar>
        </w:tblPrEx>
        <w:trPr>
          <w:trHeight w:val="547" w:hRule="atLeast"/>
          <w:jc w:val="center"/>
        </w:trPr>
        <w:tc>
          <w:tcPr>
            <w:tcW w:w="701" w:type="dxa"/>
            <w:vMerge w:val="continue"/>
            <w:tcBorders>
              <w:left w:val="single" w:color="000000" w:sz="4" w:space="0"/>
              <w:right w:val="single" w:color="000000" w:sz="4" w:space="0"/>
            </w:tcBorders>
            <w:vAlign w:val="center"/>
          </w:tcPr>
          <w:p>
            <w:pPr>
              <w:spacing w:line="320" w:lineRule="exact"/>
              <w:jc w:val="center"/>
              <w:rPr>
                <w:bCs/>
                <w:color w:val="000000"/>
                <w:sz w:val="20"/>
                <w:szCs w:val="20"/>
              </w:rPr>
            </w:pPr>
          </w:p>
        </w:tc>
        <w:tc>
          <w:tcPr>
            <w:tcW w:w="82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Cs/>
                <w:color w:val="000000"/>
                <w:kern w:val="0"/>
                <w:sz w:val="20"/>
                <w:szCs w:val="20"/>
                <w:lang w:bidi="ar"/>
              </w:rPr>
            </w:pPr>
            <w:r>
              <w:rPr>
                <w:bCs/>
                <w:color w:val="000000"/>
                <w:kern w:val="0"/>
                <w:sz w:val="20"/>
                <w:szCs w:val="20"/>
                <w:lang w:bidi="ar"/>
              </w:rPr>
              <w:t>完成</w:t>
            </w:r>
          </w:p>
          <w:p>
            <w:pPr>
              <w:widowControl/>
              <w:spacing w:line="320" w:lineRule="exact"/>
              <w:jc w:val="center"/>
              <w:textAlignment w:val="center"/>
              <w:rPr>
                <w:bCs/>
                <w:color w:val="000000"/>
                <w:kern w:val="0"/>
                <w:sz w:val="20"/>
                <w:szCs w:val="20"/>
                <w:lang w:bidi="ar"/>
              </w:rPr>
            </w:pPr>
            <w:r>
              <w:rPr>
                <w:bCs/>
                <w:color w:val="000000"/>
                <w:kern w:val="0"/>
                <w:sz w:val="20"/>
                <w:szCs w:val="20"/>
                <w:lang w:bidi="ar"/>
              </w:rPr>
              <w:t>指标</w:t>
            </w:r>
          </w:p>
        </w:tc>
        <w:tc>
          <w:tcPr>
            <w:tcW w:w="129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Cs/>
                <w:color w:val="000000"/>
                <w:kern w:val="0"/>
                <w:sz w:val="20"/>
                <w:szCs w:val="20"/>
                <w:lang w:bidi="ar"/>
              </w:rPr>
            </w:pPr>
            <w:r>
              <w:rPr>
                <w:bCs/>
                <w:color w:val="000000"/>
                <w:kern w:val="0"/>
                <w:sz w:val="20"/>
                <w:szCs w:val="20"/>
                <w:lang w:bidi="ar"/>
              </w:rPr>
              <w:t>数量指标</w:t>
            </w:r>
          </w:p>
        </w:tc>
        <w:tc>
          <w:tcPr>
            <w:tcW w:w="173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广州总部租用办公室租金</w:t>
            </w:r>
          </w:p>
        </w:tc>
        <w:tc>
          <w:tcPr>
            <w:tcW w:w="16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sz w:val="20"/>
                <w:szCs w:val="20"/>
              </w:rPr>
            </w:pPr>
            <w:r>
              <w:rPr>
                <w:sz w:val="20"/>
                <w:szCs w:val="20"/>
              </w:rPr>
              <w:t>1509.11平方米，年租金210万元</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sz w:val="20"/>
                <w:szCs w:val="20"/>
              </w:rPr>
            </w:pPr>
            <w:r>
              <w:rPr>
                <w:sz w:val="20"/>
                <w:szCs w:val="20"/>
              </w:rPr>
              <w:t>1509.11平方米，年租金200万元</w:t>
            </w:r>
          </w:p>
        </w:tc>
      </w:tr>
      <w:tr>
        <w:tblPrEx>
          <w:tblCellMar>
            <w:top w:w="0" w:type="dxa"/>
            <w:left w:w="108" w:type="dxa"/>
            <w:bottom w:w="0" w:type="dxa"/>
            <w:right w:w="108" w:type="dxa"/>
          </w:tblCellMar>
        </w:tblPrEx>
        <w:trPr>
          <w:trHeight w:val="689" w:hRule="atLeast"/>
          <w:jc w:val="center"/>
        </w:trPr>
        <w:tc>
          <w:tcPr>
            <w:tcW w:w="701" w:type="dxa"/>
            <w:vMerge w:val="continue"/>
            <w:tcBorders>
              <w:left w:val="single" w:color="000000" w:sz="4" w:space="0"/>
              <w:right w:val="single" w:color="000000" w:sz="4" w:space="0"/>
            </w:tcBorders>
            <w:vAlign w:val="center"/>
          </w:tcPr>
          <w:p>
            <w:pPr>
              <w:spacing w:line="320" w:lineRule="exact"/>
              <w:jc w:val="center"/>
              <w:rPr>
                <w:color w:val="000000"/>
                <w:sz w:val="20"/>
                <w:szCs w:val="20"/>
              </w:rPr>
            </w:pPr>
          </w:p>
        </w:tc>
        <w:tc>
          <w:tcPr>
            <w:tcW w:w="8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Cs/>
                <w:color w:val="000000"/>
                <w:kern w:val="0"/>
                <w:sz w:val="20"/>
                <w:szCs w:val="20"/>
                <w:lang w:bidi="ar"/>
              </w:rPr>
            </w:pPr>
          </w:p>
        </w:tc>
        <w:tc>
          <w:tcPr>
            <w:tcW w:w="129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Cs/>
                <w:color w:val="000000"/>
                <w:kern w:val="0"/>
                <w:sz w:val="20"/>
                <w:szCs w:val="20"/>
                <w:lang w:bidi="ar"/>
              </w:rPr>
            </w:pPr>
            <w:r>
              <w:rPr>
                <w:bCs/>
                <w:color w:val="000000"/>
                <w:kern w:val="0"/>
                <w:sz w:val="20"/>
                <w:szCs w:val="20"/>
                <w:lang w:bidi="ar"/>
              </w:rPr>
              <w:t>质量指标</w:t>
            </w:r>
          </w:p>
        </w:tc>
        <w:tc>
          <w:tcPr>
            <w:tcW w:w="173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职工工作生活安全</w:t>
            </w:r>
          </w:p>
        </w:tc>
        <w:tc>
          <w:tcPr>
            <w:tcW w:w="16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全面保障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全面保障</w:t>
            </w:r>
          </w:p>
        </w:tc>
      </w:tr>
      <w:tr>
        <w:tblPrEx>
          <w:tblCellMar>
            <w:top w:w="0" w:type="dxa"/>
            <w:left w:w="108" w:type="dxa"/>
            <w:bottom w:w="0" w:type="dxa"/>
            <w:right w:w="108" w:type="dxa"/>
          </w:tblCellMar>
        </w:tblPrEx>
        <w:trPr>
          <w:trHeight w:val="591" w:hRule="atLeast"/>
          <w:jc w:val="center"/>
        </w:trPr>
        <w:tc>
          <w:tcPr>
            <w:tcW w:w="701" w:type="dxa"/>
            <w:vMerge w:val="continue"/>
            <w:tcBorders>
              <w:left w:val="single" w:color="000000" w:sz="4" w:space="0"/>
              <w:right w:val="single" w:color="000000" w:sz="4" w:space="0"/>
            </w:tcBorders>
            <w:vAlign w:val="center"/>
          </w:tcPr>
          <w:p>
            <w:pPr>
              <w:spacing w:line="320" w:lineRule="exact"/>
              <w:jc w:val="center"/>
              <w:rPr>
                <w:color w:val="000000"/>
                <w:sz w:val="20"/>
                <w:szCs w:val="20"/>
              </w:rPr>
            </w:pPr>
          </w:p>
        </w:tc>
        <w:tc>
          <w:tcPr>
            <w:tcW w:w="82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color w:val="000000"/>
                <w:sz w:val="20"/>
                <w:szCs w:val="20"/>
              </w:rPr>
            </w:pPr>
          </w:p>
        </w:tc>
        <w:tc>
          <w:tcPr>
            <w:tcW w:w="129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Cs/>
                <w:color w:val="000000"/>
                <w:kern w:val="0"/>
                <w:sz w:val="20"/>
                <w:szCs w:val="20"/>
                <w:lang w:bidi="ar"/>
              </w:rPr>
            </w:pPr>
            <w:r>
              <w:rPr>
                <w:bCs/>
                <w:color w:val="000000"/>
                <w:kern w:val="0"/>
                <w:sz w:val="20"/>
                <w:szCs w:val="20"/>
                <w:lang w:bidi="ar"/>
              </w:rPr>
              <w:t>时效指标</w:t>
            </w:r>
          </w:p>
        </w:tc>
        <w:tc>
          <w:tcPr>
            <w:tcW w:w="173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完成时间</w:t>
            </w:r>
          </w:p>
        </w:tc>
        <w:tc>
          <w:tcPr>
            <w:tcW w:w="16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按照合同要求，按月或半年支付</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按照合同要求，按月支付</w:t>
            </w:r>
          </w:p>
        </w:tc>
      </w:tr>
      <w:tr>
        <w:tblPrEx>
          <w:tblCellMar>
            <w:top w:w="0" w:type="dxa"/>
            <w:left w:w="108" w:type="dxa"/>
            <w:bottom w:w="0" w:type="dxa"/>
            <w:right w:w="108" w:type="dxa"/>
          </w:tblCellMar>
        </w:tblPrEx>
        <w:trPr>
          <w:trHeight w:val="775" w:hRule="atLeast"/>
          <w:jc w:val="center"/>
        </w:trPr>
        <w:tc>
          <w:tcPr>
            <w:tcW w:w="701" w:type="dxa"/>
            <w:vMerge w:val="continue"/>
            <w:tcBorders>
              <w:left w:val="single" w:color="000000" w:sz="4" w:space="0"/>
              <w:right w:val="single" w:color="000000" w:sz="4" w:space="0"/>
            </w:tcBorders>
            <w:vAlign w:val="center"/>
          </w:tcPr>
          <w:p>
            <w:pPr>
              <w:spacing w:line="320" w:lineRule="exact"/>
              <w:jc w:val="center"/>
              <w:rPr>
                <w:color w:val="000000"/>
                <w:sz w:val="20"/>
                <w:szCs w:val="20"/>
              </w:rPr>
            </w:pPr>
          </w:p>
        </w:tc>
        <w:tc>
          <w:tcPr>
            <w:tcW w:w="82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color w:val="000000"/>
                <w:sz w:val="20"/>
                <w:szCs w:val="20"/>
              </w:rPr>
            </w:pPr>
          </w:p>
        </w:tc>
        <w:tc>
          <w:tcPr>
            <w:tcW w:w="129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Cs/>
                <w:color w:val="000000"/>
                <w:kern w:val="0"/>
                <w:sz w:val="20"/>
                <w:szCs w:val="20"/>
                <w:lang w:bidi="ar"/>
              </w:rPr>
            </w:pPr>
            <w:r>
              <w:rPr>
                <w:bCs/>
                <w:color w:val="000000"/>
                <w:kern w:val="0"/>
                <w:sz w:val="20"/>
                <w:szCs w:val="20"/>
                <w:lang w:bidi="ar"/>
              </w:rPr>
              <w:t>成本指标</w:t>
            </w:r>
          </w:p>
        </w:tc>
        <w:tc>
          <w:tcPr>
            <w:tcW w:w="173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租赁价格</w:t>
            </w:r>
          </w:p>
        </w:tc>
        <w:tc>
          <w:tcPr>
            <w:tcW w:w="16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不高于周边租赁市场价格</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不高于周边租赁市场价格</w:t>
            </w:r>
          </w:p>
        </w:tc>
      </w:tr>
      <w:tr>
        <w:tblPrEx>
          <w:tblCellMar>
            <w:top w:w="0" w:type="dxa"/>
            <w:left w:w="108" w:type="dxa"/>
            <w:bottom w:w="0" w:type="dxa"/>
            <w:right w:w="108" w:type="dxa"/>
          </w:tblCellMar>
        </w:tblPrEx>
        <w:trPr>
          <w:trHeight w:val="641" w:hRule="atLeast"/>
          <w:jc w:val="center"/>
        </w:trPr>
        <w:tc>
          <w:tcPr>
            <w:tcW w:w="701" w:type="dxa"/>
            <w:vMerge w:val="continue"/>
            <w:tcBorders>
              <w:left w:val="single" w:color="000000" w:sz="4" w:space="0"/>
              <w:right w:val="single" w:color="000000" w:sz="4" w:space="0"/>
            </w:tcBorders>
            <w:vAlign w:val="center"/>
          </w:tcPr>
          <w:p>
            <w:pPr>
              <w:spacing w:line="320" w:lineRule="exact"/>
              <w:jc w:val="center"/>
              <w:rPr>
                <w:color w:val="000000"/>
                <w:sz w:val="20"/>
                <w:szCs w:val="20"/>
              </w:rPr>
            </w:pPr>
          </w:p>
        </w:tc>
        <w:tc>
          <w:tcPr>
            <w:tcW w:w="82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bCs/>
                <w:color w:val="000000"/>
                <w:kern w:val="0"/>
                <w:sz w:val="20"/>
                <w:szCs w:val="20"/>
                <w:lang w:bidi="ar"/>
              </w:rPr>
            </w:pPr>
            <w:r>
              <w:rPr>
                <w:bCs/>
                <w:color w:val="000000"/>
                <w:kern w:val="0"/>
                <w:sz w:val="20"/>
                <w:szCs w:val="20"/>
                <w:lang w:bidi="ar"/>
              </w:rPr>
              <w:t>效益指标</w:t>
            </w:r>
          </w:p>
        </w:tc>
        <w:tc>
          <w:tcPr>
            <w:tcW w:w="1299" w:type="dxa"/>
            <w:gridSpan w:val="2"/>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bCs/>
                <w:color w:val="000000"/>
                <w:kern w:val="0"/>
                <w:sz w:val="20"/>
                <w:szCs w:val="20"/>
                <w:lang w:bidi="ar"/>
              </w:rPr>
            </w:pPr>
            <w:r>
              <w:rPr>
                <w:bCs/>
                <w:color w:val="000000"/>
                <w:kern w:val="0"/>
                <w:sz w:val="20"/>
                <w:szCs w:val="20"/>
                <w:lang w:bidi="ar"/>
              </w:rPr>
              <w:t>经济效益  指标</w:t>
            </w:r>
          </w:p>
        </w:tc>
        <w:tc>
          <w:tcPr>
            <w:tcW w:w="173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完成目标任务程度</w:t>
            </w:r>
          </w:p>
        </w:tc>
        <w:tc>
          <w:tcPr>
            <w:tcW w:w="16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100%</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100%</w:t>
            </w:r>
          </w:p>
        </w:tc>
      </w:tr>
      <w:tr>
        <w:tblPrEx>
          <w:tblCellMar>
            <w:top w:w="0" w:type="dxa"/>
            <w:left w:w="108" w:type="dxa"/>
            <w:bottom w:w="0" w:type="dxa"/>
            <w:right w:w="108" w:type="dxa"/>
          </w:tblCellMar>
        </w:tblPrEx>
        <w:trPr>
          <w:trHeight w:val="619" w:hRule="atLeast"/>
          <w:jc w:val="center"/>
        </w:trPr>
        <w:tc>
          <w:tcPr>
            <w:tcW w:w="701" w:type="dxa"/>
            <w:vMerge w:val="continue"/>
            <w:tcBorders>
              <w:left w:val="single" w:color="000000" w:sz="4" w:space="0"/>
              <w:right w:val="single" w:color="000000" w:sz="4" w:space="0"/>
            </w:tcBorders>
            <w:vAlign w:val="center"/>
          </w:tcPr>
          <w:p>
            <w:pPr>
              <w:spacing w:line="320" w:lineRule="exact"/>
              <w:jc w:val="center"/>
              <w:rPr>
                <w:color w:val="000000"/>
                <w:sz w:val="20"/>
                <w:szCs w:val="20"/>
              </w:rPr>
            </w:pPr>
          </w:p>
        </w:tc>
        <w:tc>
          <w:tcPr>
            <w:tcW w:w="8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bCs/>
                <w:color w:val="000000"/>
                <w:kern w:val="0"/>
                <w:sz w:val="20"/>
                <w:szCs w:val="20"/>
                <w:lang w:bidi="ar"/>
              </w:rPr>
            </w:pPr>
          </w:p>
        </w:tc>
        <w:tc>
          <w:tcPr>
            <w:tcW w:w="1299" w:type="dxa"/>
            <w:gridSpan w:val="2"/>
            <w:vMerge w:val="continue"/>
            <w:tcBorders>
              <w:left w:val="single" w:color="000000" w:sz="4" w:space="0"/>
              <w:right w:val="single" w:color="000000" w:sz="4" w:space="0"/>
            </w:tcBorders>
            <w:vAlign w:val="center"/>
          </w:tcPr>
          <w:p>
            <w:pPr>
              <w:widowControl/>
              <w:spacing w:line="320" w:lineRule="exact"/>
              <w:jc w:val="center"/>
              <w:textAlignment w:val="bottom"/>
              <w:rPr>
                <w:bCs/>
                <w:color w:val="000000"/>
                <w:kern w:val="0"/>
                <w:sz w:val="20"/>
                <w:szCs w:val="20"/>
                <w:lang w:bidi="ar"/>
              </w:rPr>
            </w:pPr>
          </w:p>
        </w:tc>
        <w:tc>
          <w:tcPr>
            <w:tcW w:w="173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引进签约项目资金</w:t>
            </w:r>
          </w:p>
        </w:tc>
        <w:tc>
          <w:tcPr>
            <w:tcW w:w="16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1200亿元</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3900亿元</w:t>
            </w:r>
          </w:p>
        </w:tc>
      </w:tr>
      <w:tr>
        <w:tblPrEx>
          <w:tblCellMar>
            <w:top w:w="0" w:type="dxa"/>
            <w:left w:w="108" w:type="dxa"/>
            <w:bottom w:w="0" w:type="dxa"/>
            <w:right w:w="108" w:type="dxa"/>
          </w:tblCellMar>
        </w:tblPrEx>
        <w:trPr>
          <w:trHeight w:val="573" w:hRule="atLeast"/>
          <w:jc w:val="center"/>
        </w:trPr>
        <w:tc>
          <w:tcPr>
            <w:tcW w:w="701" w:type="dxa"/>
            <w:vMerge w:val="continue"/>
            <w:tcBorders>
              <w:left w:val="single" w:color="000000" w:sz="4" w:space="0"/>
              <w:right w:val="single" w:color="000000" w:sz="4" w:space="0"/>
            </w:tcBorders>
            <w:vAlign w:val="center"/>
          </w:tcPr>
          <w:p>
            <w:pPr>
              <w:spacing w:line="320" w:lineRule="exact"/>
              <w:jc w:val="center"/>
              <w:rPr>
                <w:color w:val="000000"/>
                <w:sz w:val="20"/>
                <w:szCs w:val="20"/>
              </w:rPr>
            </w:pPr>
          </w:p>
        </w:tc>
        <w:tc>
          <w:tcPr>
            <w:tcW w:w="8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bCs/>
                <w:color w:val="000000"/>
                <w:kern w:val="0"/>
                <w:sz w:val="20"/>
                <w:szCs w:val="20"/>
                <w:lang w:bidi="ar"/>
              </w:rPr>
            </w:pPr>
          </w:p>
        </w:tc>
        <w:tc>
          <w:tcPr>
            <w:tcW w:w="1299" w:type="dxa"/>
            <w:gridSpan w:val="2"/>
            <w:vMerge w:val="continue"/>
            <w:tcBorders>
              <w:left w:val="single" w:color="000000" w:sz="4" w:space="0"/>
              <w:bottom w:val="single" w:color="000000" w:sz="4" w:space="0"/>
              <w:right w:val="single" w:color="000000" w:sz="4" w:space="0"/>
            </w:tcBorders>
            <w:vAlign w:val="center"/>
          </w:tcPr>
          <w:p>
            <w:pPr>
              <w:widowControl/>
              <w:spacing w:line="320" w:lineRule="exact"/>
              <w:jc w:val="center"/>
              <w:textAlignment w:val="bottom"/>
              <w:rPr>
                <w:bCs/>
                <w:color w:val="000000"/>
                <w:kern w:val="0"/>
                <w:sz w:val="20"/>
                <w:szCs w:val="20"/>
                <w:lang w:bidi="ar"/>
              </w:rPr>
            </w:pPr>
          </w:p>
        </w:tc>
        <w:tc>
          <w:tcPr>
            <w:tcW w:w="173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省委信息目标任务</w:t>
            </w:r>
          </w:p>
        </w:tc>
        <w:tc>
          <w:tcPr>
            <w:tcW w:w="16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10分</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15分，省委、省政府得分都排驻外办第一（北京办除外）</w:t>
            </w:r>
          </w:p>
        </w:tc>
      </w:tr>
      <w:tr>
        <w:tblPrEx>
          <w:tblCellMar>
            <w:top w:w="0" w:type="dxa"/>
            <w:left w:w="108" w:type="dxa"/>
            <w:bottom w:w="0" w:type="dxa"/>
            <w:right w:w="108" w:type="dxa"/>
          </w:tblCellMar>
        </w:tblPrEx>
        <w:trPr>
          <w:trHeight w:val="745" w:hRule="atLeast"/>
          <w:jc w:val="center"/>
        </w:trPr>
        <w:tc>
          <w:tcPr>
            <w:tcW w:w="701" w:type="dxa"/>
            <w:vMerge w:val="continue"/>
            <w:tcBorders>
              <w:left w:val="single" w:color="000000" w:sz="4" w:space="0"/>
              <w:right w:val="single" w:color="000000" w:sz="4" w:space="0"/>
            </w:tcBorders>
            <w:vAlign w:val="center"/>
          </w:tcPr>
          <w:p>
            <w:pPr>
              <w:spacing w:line="320" w:lineRule="exact"/>
              <w:jc w:val="center"/>
              <w:rPr>
                <w:color w:val="000000"/>
                <w:sz w:val="20"/>
                <w:szCs w:val="20"/>
              </w:rPr>
            </w:pPr>
          </w:p>
        </w:tc>
        <w:tc>
          <w:tcPr>
            <w:tcW w:w="8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bCs/>
                <w:color w:val="000000"/>
                <w:kern w:val="0"/>
                <w:sz w:val="20"/>
                <w:szCs w:val="20"/>
                <w:lang w:bidi="ar"/>
              </w:rPr>
            </w:pPr>
          </w:p>
        </w:tc>
        <w:tc>
          <w:tcPr>
            <w:tcW w:w="1299" w:type="dxa"/>
            <w:gridSpan w:val="2"/>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bottom"/>
              <w:rPr>
                <w:bCs/>
                <w:color w:val="000000"/>
                <w:kern w:val="0"/>
                <w:sz w:val="20"/>
                <w:szCs w:val="20"/>
                <w:lang w:bidi="ar"/>
              </w:rPr>
            </w:pPr>
            <w:r>
              <w:rPr>
                <w:bCs/>
                <w:color w:val="000000"/>
                <w:kern w:val="0"/>
                <w:sz w:val="20"/>
                <w:szCs w:val="20"/>
                <w:lang w:bidi="ar"/>
              </w:rPr>
              <w:t>社会效益  指标</w:t>
            </w:r>
          </w:p>
        </w:tc>
        <w:tc>
          <w:tcPr>
            <w:tcW w:w="173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宣传我省投资环境、劳务政策和相关动态</w:t>
            </w:r>
          </w:p>
        </w:tc>
        <w:tc>
          <w:tcPr>
            <w:tcW w:w="16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制作走廊宣传栏7版</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制作宣传栏，开办“川粤发布”微信号，宣传我省投资环境、劳务政策和相关动态</w:t>
            </w:r>
          </w:p>
        </w:tc>
      </w:tr>
      <w:tr>
        <w:tblPrEx>
          <w:tblCellMar>
            <w:top w:w="0" w:type="dxa"/>
            <w:left w:w="108" w:type="dxa"/>
            <w:bottom w:w="0" w:type="dxa"/>
            <w:right w:w="108" w:type="dxa"/>
          </w:tblCellMar>
        </w:tblPrEx>
        <w:trPr>
          <w:trHeight w:val="556" w:hRule="atLeast"/>
          <w:jc w:val="center"/>
        </w:trPr>
        <w:tc>
          <w:tcPr>
            <w:tcW w:w="701" w:type="dxa"/>
            <w:vMerge w:val="continue"/>
            <w:tcBorders>
              <w:left w:val="single" w:color="000000" w:sz="4" w:space="0"/>
              <w:right w:val="single" w:color="000000" w:sz="4" w:space="0"/>
            </w:tcBorders>
            <w:vAlign w:val="center"/>
          </w:tcPr>
          <w:p>
            <w:pPr>
              <w:spacing w:line="320" w:lineRule="exact"/>
              <w:jc w:val="center"/>
              <w:rPr>
                <w:color w:val="000000"/>
                <w:sz w:val="20"/>
                <w:szCs w:val="20"/>
              </w:rPr>
            </w:pPr>
          </w:p>
        </w:tc>
        <w:tc>
          <w:tcPr>
            <w:tcW w:w="82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color w:val="000000"/>
                <w:sz w:val="20"/>
                <w:szCs w:val="20"/>
              </w:rPr>
            </w:pPr>
          </w:p>
        </w:tc>
        <w:tc>
          <w:tcPr>
            <w:tcW w:w="1299" w:type="dxa"/>
            <w:gridSpan w:val="2"/>
            <w:vMerge w:val="continue"/>
            <w:tcBorders>
              <w:left w:val="single" w:color="000000" w:sz="4" w:space="0"/>
              <w:right w:val="single" w:color="000000" w:sz="4" w:space="0"/>
            </w:tcBorders>
            <w:vAlign w:val="center"/>
          </w:tcPr>
          <w:p>
            <w:pPr>
              <w:widowControl/>
              <w:spacing w:line="320" w:lineRule="exact"/>
              <w:jc w:val="center"/>
              <w:textAlignment w:val="bottom"/>
              <w:rPr>
                <w:color w:val="000000"/>
                <w:kern w:val="0"/>
                <w:sz w:val="20"/>
                <w:szCs w:val="20"/>
                <w:lang w:bidi="ar"/>
              </w:rPr>
            </w:pPr>
          </w:p>
        </w:tc>
        <w:tc>
          <w:tcPr>
            <w:tcW w:w="173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指导联系区域内省级商会</w:t>
            </w:r>
          </w:p>
        </w:tc>
        <w:tc>
          <w:tcPr>
            <w:tcW w:w="16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不少于10次</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20次</w:t>
            </w:r>
          </w:p>
        </w:tc>
      </w:tr>
      <w:tr>
        <w:tblPrEx>
          <w:tblCellMar>
            <w:top w:w="0" w:type="dxa"/>
            <w:left w:w="108" w:type="dxa"/>
            <w:bottom w:w="0" w:type="dxa"/>
            <w:right w:w="108" w:type="dxa"/>
          </w:tblCellMar>
        </w:tblPrEx>
        <w:trPr>
          <w:trHeight w:val="412" w:hRule="atLeast"/>
          <w:jc w:val="center"/>
        </w:trPr>
        <w:tc>
          <w:tcPr>
            <w:tcW w:w="701" w:type="dxa"/>
            <w:vMerge w:val="continue"/>
            <w:tcBorders>
              <w:left w:val="single" w:color="000000" w:sz="4" w:space="0"/>
              <w:right w:val="single" w:color="000000" w:sz="4" w:space="0"/>
            </w:tcBorders>
            <w:vAlign w:val="center"/>
          </w:tcPr>
          <w:p>
            <w:pPr>
              <w:spacing w:line="320" w:lineRule="exact"/>
              <w:jc w:val="center"/>
              <w:rPr>
                <w:color w:val="000000"/>
                <w:sz w:val="20"/>
                <w:szCs w:val="20"/>
              </w:rPr>
            </w:pPr>
          </w:p>
        </w:tc>
        <w:tc>
          <w:tcPr>
            <w:tcW w:w="82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color w:val="000000"/>
                <w:sz w:val="20"/>
                <w:szCs w:val="20"/>
              </w:rPr>
            </w:pPr>
          </w:p>
        </w:tc>
        <w:tc>
          <w:tcPr>
            <w:tcW w:w="1299" w:type="dxa"/>
            <w:gridSpan w:val="2"/>
            <w:vMerge w:val="continue"/>
            <w:tcBorders>
              <w:left w:val="single" w:color="000000" w:sz="4" w:space="0"/>
              <w:right w:val="single" w:color="000000" w:sz="4" w:space="0"/>
            </w:tcBorders>
            <w:vAlign w:val="center"/>
          </w:tcPr>
          <w:p>
            <w:pPr>
              <w:widowControl/>
              <w:spacing w:line="320" w:lineRule="exact"/>
              <w:jc w:val="center"/>
              <w:textAlignment w:val="bottom"/>
              <w:rPr>
                <w:color w:val="000000"/>
                <w:kern w:val="0"/>
                <w:sz w:val="20"/>
                <w:szCs w:val="20"/>
                <w:lang w:bidi="ar"/>
              </w:rPr>
            </w:pPr>
          </w:p>
        </w:tc>
        <w:tc>
          <w:tcPr>
            <w:tcW w:w="173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凝聚在粤川籍务工人员力量</w:t>
            </w:r>
          </w:p>
        </w:tc>
        <w:tc>
          <w:tcPr>
            <w:tcW w:w="16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新建8个在粤川籍农民工服务站</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新建19个在粤川籍农民工服务站</w:t>
            </w:r>
          </w:p>
        </w:tc>
      </w:tr>
      <w:tr>
        <w:tblPrEx>
          <w:tblCellMar>
            <w:top w:w="0" w:type="dxa"/>
            <w:left w:w="108" w:type="dxa"/>
            <w:bottom w:w="0" w:type="dxa"/>
            <w:right w:w="108" w:type="dxa"/>
          </w:tblCellMar>
        </w:tblPrEx>
        <w:trPr>
          <w:trHeight w:val="532" w:hRule="atLeast"/>
          <w:jc w:val="center"/>
        </w:trPr>
        <w:tc>
          <w:tcPr>
            <w:tcW w:w="701" w:type="dxa"/>
            <w:vMerge w:val="continue"/>
            <w:tcBorders>
              <w:left w:val="single" w:color="000000" w:sz="4" w:space="0"/>
              <w:right w:val="single" w:color="000000" w:sz="4" w:space="0"/>
            </w:tcBorders>
            <w:vAlign w:val="center"/>
          </w:tcPr>
          <w:p>
            <w:pPr>
              <w:spacing w:line="320" w:lineRule="exact"/>
              <w:jc w:val="center"/>
              <w:rPr>
                <w:color w:val="000000"/>
                <w:sz w:val="20"/>
                <w:szCs w:val="20"/>
              </w:rPr>
            </w:pPr>
          </w:p>
        </w:tc>
        <w:tc>
          <w:tcPr>
            <w:tcW w:w="82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color w:val="000000"/>
                <w:sz w:val="20"/>
                <w:szCs w:val="20"/>
              </w:rPr>
            </w:pPr>
          </w:p>
        </w:tc>
        <w:tc>
          <w:tcPr>
            <w:tcW w:w="1299" w:type="dxa"/>
            <w:gridSpan w:val="2"/>
            <w:vMerge w:val="continue"/>
            <w:tcBorders>
              <w:left w:val="single" w:color="000000" w:sz="4" w:space="0"/>
              <w:right w:val="single" w:color="000000" w:sz="4" w:space="0"/>
            </w:tcBorders>
            <w:vAlign w:val="center"/>
          </w:tcPr>
          <w:p>
            <w:pPr>
              <w:widowControl/>
              <w:spacing w:line="320" w:lineRule="exact"/>
              <w:jc w:val="center"/>
              <w:textAlignment w:val="bottom"/>
              <w:rPr>
                <w:color w:val="000000"/>
                <w:kern w:val="0"/>
                <w:sz w:val="20"/>
                <w:szCs w:val="20"/>
                <w:lang w:bidi="ar"/>
              </w:rPr>
            </w:pPr>
          </w:p>
        </w:tc>
        <w:tc>
          <w:tcPr>
            <w:tcW w:w="173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关爱慰问</w:t>
            </w:r>
          </w:p>
        </w:tc>
        <w:tc>
          <w:tcPr>
            <w:tcW w:w="16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慰问在粤川籍农民工100人</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慰问在粤川籍农民工500余人</w:t>
            </w:r>
          </w:p>
        </w:tc>
      </w:tr>
      <w:tr>
        <w:tblPrEx>
          <w:tblCellMar>
            <w:top w:w="0" w:type="dxa"/>
            <w:left w:w="108" w:type="dxa"/>
            <w:bottom w:w="0" w:type="dxa"/>
            <w:right w:w="108" w:type="dxa"/>
          </w:tblCellMar>
        </w:tblPrEx>
        <w:trPr>
          <w:trHeight w:val="847" w:hRule="atLeast"/>
          <w:jc w:val="center"/>
        </w:trPr>
        <w:tc>
          <w:tcPr>
            <w:tcW w:w="701" w:type="dxa"/>
            <w:vMerge w:val="continue"/>
            <w:tcBorders>
              <w:left w:val="single" w:color="000000" w:sz="4" w:space="0"/>
              <w:right w:val="single" w:color="000000" w:sz="4" w:space="0"/>
            </w:tcBorders>
            <w:vAlign w:val="center"/>
          </w:tcPr>
          <w:p>
            <w:pPr>
              <w:spacing w:line="320" w:lineRule="exact"/>
              <w:jc w:val="center"/>
              <w:rPr>
                <w:color w:val="000000"/>
                <w:sz w:val="20"/>
                <w:szCs w:val="20"/>
              </w:rPr>
            </w:pPr>
          </w:p>
        </w:tc>
        <w:tc>
          <w:tcPr>
            <w:tcW w:w="82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color w:val="000000"/>
                <w:sz w:val="20"/>
                <w:szCs w:val="20"/>
              </w:rPr>
            </w:pPr>
          </w:p>
        </w:tc>
        <w:tc>
          <w:tcPr>
            <w:tcW w:w="1299" w:type="dxa"/>
            <w:gridSpan w:val="2"/>
            <w:vMerge w:val="continue"/>
            <w:tcBorders>
              <w:left w:val="single" w:color="000000" w:sz="4" w:space="0"/>
              <w:right w:val="single" w:color="000000" w:sz="4" w:space="0"/>
            </w:tcBorders>
            <w:vAlign w:val="center"/>
          </w:tcPr>
          <w:p>
            <w:pPr>
              <w:widowControl/>
              <w:spacing w:line="320" w:lineRule="exact"/>
              <w:jc w:val="center"/>
              <w:textAlignment w:val="bottom"/>
              <w:rPr>
                <w:color w:val="000000"/>
                <w:kern w:val="0"/>
                <w:sz w:val="20"/>
                <w:szCs w:val="20"/>
                <w:lang w:bidi="ar"/>
              </w:rPr>
            </w:pPr>
          </w:p>
        </w:tc>
        <w:tc>
          <w:tcPr>
            <w:tcW w:w="173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促进农民工就业</w:t>
            </w:r>
          </w:p>
        </w:tc>
        <w:tc>
          <w:tcPr>
            <w:tcW w:w="16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在甘孜凉山举办2场扶贫就业招聘会</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在凉山州美姑、昭觉等地开展劳务座谈会4场，推动广东东莞企业家联合会与四川应用职业技术学院签署产教融合协议；发布广东省重点企业云招聘1.2万个岗位信息。</w:t>
            </w:r>
          </w:p>
        </w:tc>
      </w:tr>
      <w:tr>
        <w:tblPrEx>
          <w:tblCellMar>
            <w:top w:w="0" w:type="dxa"/>
            <w:left w:w="108" w:type="dxa"/>
            <w:bottom w:w="0" w:type="dxa"/>
            <w:right w:w="108" w:type="dxa"/>
          </w:tblCellMar>
        </w:tblPrEx>
        <w:trPr>
          <w:trHeight w:val="426" w:hRule="atLeast"/>
          <w:jc w:val="center"/>
        </w:trPr>
        <w:tc>
          <w:tcPr>
            <w:tcW w:w="701" w:type="dxa"/>
            <w:vMerge w:val="continue"/>
            <w:tcBorders>
              <w:left w:val="single" w:color="000000" w:sz="4" w:space="0"/>
              <w:right w:val="single" w:color="000000" w:sz="4" w:space="0"/>
            </w:tcBorders>
            <w:vAlign w:val="center"/>
          </w:tcPr>
          <w:p>
            <w:pPr>
              <w:spacing w:line="320" w:lineRule="exact"/>
              <w:jc w:val="center"/>
              <w:rPr>
                <w:color w:val="000000"/>
                <w:sz w:val="20"/>
                <w:szCs w:val="20"/>
              </w:rPr>
            </w:pPr>
          </w:p>
        </w:tc>
        <w:tc>
          <w:tcPr>
            <w:tcW w:w="82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color w:val="000000"/>
                <w:sz w:val="20"/>
                <w:szCs w:val="20"/>
              </w:rPr>
            </w:pPr>
          </w:p>
        </w:tc>
        <w:tc>
          <w:tcPr>
            <w:tcW w:w="1299" w:type="dxa"/>
            <w:gridSpan w:val="2"/>
            <w:vMerge w:val="continue"/>
            <w:tcBorders>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kern w:val="0"/>
                <w:sz w:val="20"/>
                <w:szCs w:val="20"/>
                <w:lang w:bidi="ar"/>
              </w:rPr>
            </w:pPr>
          </w:p>
        </w:tc>
        <w:tc>
          <w:tcPr>
            <w:tcW w:w="173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优秀农民工回引培养</w:t>
            </w:r>
          </w:p>
        </w:tc>
        <w:tc>
          <w:tcPr>
            <w:tcW w:w="16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举办1场培训会</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因疫情原因取消</w:t>
            </w:r>
          </w:p>
        </w:tc>
      </w:tr>
      <w:tr>
        <w:tblPrEx>
          <w:tblCellMar>
            <w:top w:w="0" w:type="dxa"/>
            <w:left w:w="108" w:type="dxa"/>
            <w:bottom w:w="0" w:type="dxa"/>
            <w:right w:w="108" w:type="dxa"/>
          </w:tblCellMar>
        </w:tblPrEx>
        <w:trPr>
          <w:trHeight w:val="592" w:hRule="atLeast"/>
          <w:jc w:val="center"/>
        </w:trPr>
        <w:tc>
          <w:tcPr>
            <w:tcW w:w="701" w:type="dxa"/>
            <w:vMerge w:val="continue"/>
            <w:tcBorders>
              <w:left w:val="single" w:color="000000" w:sz="4" w:space="0"/>
              <w:right w:val="single" w:color="000000" w:sz="4" w:space="0"/>
            </w:tcBorders>
            <w:vAlign w:val="center"/>
          </w:tcPr>
          <w:p>
            <w:pPr>
              <w:spacing w:line="320" w:lineRule="exact"/>
              <w:jc w:val="center"/>
              <w:rPr>
                <w:color w:val="000000"/>
                <w:sz w:val="20"/>
                <w:szCs w:val="20"/>
              </w:rPr>
            </w:pPr>
          </w:p>
        </w:tc>
        <w:tc>
          <w:tcPr>
            <w:tcW w:w="82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color w:val="000000"/>
                <w:sz w:val="20"/>
                <w:szCs w:val="20"/>
              </w:rPr>
            </w:pPr>
          </w:p>
        </w:tc>
        <w:tc>
          <w:tcPr>
            <w:tcW w:w="129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bCs/>
                <w:color w:val="000000"/>
                <w:kern w:val="0"/>
                <w:sz w:val="20"/>
                <w:szCs w:val="20"/>
                <w:lang w:bidi="ar"/>
              </w:rPr>
            </w:pPr>
            <w:r>
              <w:rPr>
                <w:bCs/>
                <w:color w:val="000000"/>
                <w:kern w:val="0"/>
                <w:sz w:val="20"/>
                <w:szCs w:val="20"/>
                <w:lang w:bidi="ar"/>
              </w:rPr>
              <w:t>生态效益指标</w:t>
            </w:r>
          </w:p>
        </w:tc>
        <w:tc>
          <w:tcPr>
            <w:tcW w:w="173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提高工作、生活条件和环境条件</w:t>
            </w:r>
          </w:p>
        </w:tc>
        <w:tc>
          <w:tcPr>
            <w:tcW w:w="16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良性循环</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良性循环</w:t>
            </w:r>
          </w:p>
        </w:tc>
      </w:tr>
      <w:tr>
        <w:tblPrEx>
          <w:tblCellMar>
            <w:top w:w="0" w:type="dxa"/>
            <w:left w:w="108" w:type="dxa"/>
            <w:bottom w:w="0" w:type="dxa"/>
            <w:right w:w="108" w:type="dxa"/>
          </w:tblCellMar>
        </w:tblPrEx>
        <w:trPr>
          <w:trHeight w:val="90" w:hRule="atLeast"/>
          <w:jc w:val="center"/>
        </w:trPr>
        <w:tc>
          <w:tcPr>
            <w:tcW w:w="701" w:type="dxa"/>
            <w:vMerge w:val="continue"/>
            <w:tcBorders>
              <w:left w:val="single" w:color="000000" w:sz="4" w:space="0"/>
              <w:right w:val="single" w:color="000000" w:sz="4" w:space="0"/>
            </w:tcBorders>
            <w:vAlign w:val="center"/>
          </w:tcPr>
          <w:p>
            <w:pPr>
              <w:spacing w:line="320" w:lineRule="exact"/>
              <w:jc w:val="center"/>
              <w:rPr>
                <w:color w:val="000000"/>
                <w:sz w:val="20"/>
                <w:szCs w:val="20"/>
              </w:rPr>
            </w:pPr>
          </w:p>
        </w:tc>
        <w:tc>
          <w:tcPr>
            <w:tcW w:w="82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color w:val="000000"/>
                <w:sz w:val="20"/>
                <w:szCs w:val="20"/>
              </w:rPr>
            </w:pPr>
          </w:p>
        </w:tc>
        <w:tc>
          <w:tcPr>
            <w:tcW w:w="129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bCs/>
                <w:color w:val="000000"/>
                <w:kern w:val="0"/>
                <w:sz w:val="20"/>
                <w:szCs w:val="20"/>
                <w:lang w:bidi="ar"/>
              </w:rPr>
            </w:pPr>
            <w:r>
              <w:rPr>
                <w:bCs/>
                <w:color w:val="000000"/>
                <w:kern w:val="0"/>
                <w:sz w:val="20"/>
                <w:szCs w:val="20"/>
                <w:lang w:bidi="ar"/>
              </w:rPr>
              <w:t>可持续影响指标</w:t>
            </w:r>
          </w:p>
        </w:tc>
        <w:tc>
          <w:tcPr>
            <w:tcW w:w="173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企业、川商赴川发展意愿</w:t>
            </w:r>
          </w:p>
        </w:tc>
        <w:tc>
          <w:tcPr>
            <w:tcW w:w="16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持续高涨</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组团粤港澳大湾区知名企业四川行、“不忘初心•共谋发展”纪念建党100周年华南川商红色教育暨返乡投资等105批次赴川考察活动</w:t>
            </w:r>
          </w:p>
        </w:tc>
      </w:tr>
      <w:tr>
        <w:tblPrEx>
          <w:tblCellMar>
            <w:top w:w="0" w:type="dxa"/>
            <w:left w:w="108" w:type="dxa"/>
            <w:bottom w:w="0" w:type="dxa"/>
            <w:right w:w="108" w:type="dxa"/>
          </w:tblCellMar>
        </w:tblPrEx>
        <w:trPr>
          <w:trHeight w:val="750" w:hRule="atLeast"/>
          <w:jc w:val="center"/>
        </w:trPr>
        <w:tc>
          <w:tcPr>
            <w:tcW w:w="701" w:type="dxa"/>
            <w:vMerge w:val="continue"/>
            <w:tcBorders>
              <w:left w:val="single" w:color="000000" w:sz="4" w:space="0"/>
              <w:bottom w:val="single" w:color="000000" w:sz="4" w:space="0"/>
              <w:right w:val="single" w:color="000000" w:sz="4" w:space="0"/>
            </w:tcBorders>
            <w:vAlign w:val="center"/>
          </w:tcPr>
          <w:p>
            <w:pPr>
              <w:spacing w:line="320" w:lineRule="exact"/>
              <w:jc w:val="center"/>
              <w:rPr>
                <w:color w:val="000000"/>
                <w:sz w:val="20"/>
                <w:szCs w:val="20"/>
              </w:rPr>
            </w:pP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bCs/>
                <w:color w:val="000000"/>
                <w:kern w:val="0"/>
                <w:sz w:val="20"/>
                <w:szCs w:val="20"/>
                <w:lang w:bidi="ar"/>
              </w:rPr>
              <w:t>满意</w:t>
            </w:r>
            <w:r>
              <w:rPr>
                <w:bCs/>
                <w:color w:val="000000"/>
                <w:kern w:val="0"/>
                <w:sz w:val="20"/>
                <w:szCs w:val="20"/>
                <w:lang w:bidi="ar"/>
              </w:rPr>
              <w:br w:type="textWrapping"/>
            </w:r>
            <w:r>
              <w:rPr>
                <w:bCs/>
                <w:color w:val="000000"/>
                <w:kern w:val="0"/>
                <w:sz w:val="20"/>
                <w:szCs w:val="20"/>
                <w:lang w:bidi="ar"/>
              </w:rPr>
              <w:t>度指标</w:t>
            </w:r>
          </w:p>
        </w:tc>
        <w:tc>
          <w:tcPr>
            <w:tcW w:w="129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bCs/>
                <w:color w:val="000000"/>
                <w:kern w:val="0"/>
                <w:sz w:val="20"/>
                <w:szCs w:val="20"/>
                <w:lang w:bidi="ar"/>
              </w:rPr>
            </w:pPr>
            <w:r>
              <w:rPr>
                <w:bCs/>
                <w:color w:val="000000"/>
                <w:kern w:val="0"/>
                <w:sz w:val="20"/>
                <w:szCs w:val="20"/>
                <w:lang w:bidi="ar"/>
              </w:rPr>
              <w:t>满意度指标</w:t>
            </w:r>
          </w:p>
        </w:tc>
        <w:tc>
          <w:tcPr>
            <w:tcW w:w="173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群众和职工满意度</w:t>
            </w:r>
          </w:p>
        </w:tc>
        <w:tc>
          <w:tcPr>
            <w:tcW w:w="16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≥90%</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color w:val="000000"/>
                <w:sz w:val="20"/>
                <w:szCs w:val="20"/>
              </w:rPr>
            </w:pPr>
            <w:r>
              <w:rPr>
                <w:color w:val="000000"/>
                <w:sz w:val="20"/>
                <w:szCs w:val="20"/>
              </w:rPr>
              <w:t>≥90%</w:t>
            </w:r>
          </w:p>
        </w:tc>
      </w:tr>
    </w:tbl>
    <w:p>
      <w:pPr>
        <w:pStyle w:val="2"/>
        <w:spacing w:before="93"/>
      </w:pPr>
      <w:r>
        <w:br w:type="page"/>
      </w:r>
    </w:p>
    <w:p>
      <w:pPr>
        <w:pStyle w:val="2"/>
        <w:spacing w:before="93"/>
      </w:pPr>
    </w:p>
    <w:p>
      <w:pPr>
        <w:snapToGrid w:val="0"/>
        <w:spacing w:line="560" w:lineRule="exact"/>
        <w:ind w:left="315" w:leftChars="150"/>
        <w:jc w:val="center"/>
        <w:rPr>
          <w:rFonts w:eastAsia="方正小标宋简体"/>
          <w:sz w:val="44"/>
          <w:szCs w:val="44"/>
        </w:rPr>
      </w:pPr>
      <w:r>
        <w:rPr>
          <w:rFonts w:hint="eastAsia" w:eastAsia="方正小标宋简体"/>
          <w:sz w:val="44"/>
          <w:szCs w:val="44"/>
        </w:rPr>
        <w:t>第五部分 附表</w:t>
      </w:r>
      <w:bookmarkEnd w:id="52"/>
      <w:bookmarkEnd w:id="53"/>
      <w:bookmarkStart w:id="54" w:name="_Toc15396619"/>
    </w:p>
    <w:p>
      <w:pPr>
        <w:pStyle w:val="2"/>
        <w:spacing w:before="93"/>
        <w:ind w:left="315" w:leftChars="150"/>
      </w:pPr>
    </w:p>
    <w:p>
      <w:pPr>
        <w:pStyle w:val="4"/>
        <w:spacing w:before="0" w:after="0" w:line="560" w:lineRule="exact"/>
        <w:rPr>
          <w:rFonts w:ascii="Times New Roman" w:hAnsi="Times New Roman" w:eastAsia="仿宋"/>
          <w:color w:val="000000"/>
        </w:rPr>
      </w:pPr>
      <w:r>
        <w:rPr>
          <w:rFonts w:hint="eastAsia" w:ascii="Times New Roman" w:hAnsi="Times New Roman" w:eastAsia="仿宋"/>
          <w:b w:val="0"/>
          <w:color w:val="000000"/>
        </w:rPr>
        <w:t>一、收</w:t>
      </w:r>
      <w:r>
        <w:rPr>
          <w:rStyle w:val="26"/>
          <w:rFonts w:hint="eastAsia" w:ascii="Times New Roman" w:hAnsi="Times New Roman" w:eastAsia="仿宋"/>
          <w:b w:val="0"/>
          <w:bCs w:val="0"/>
        </w:rPr>
        <w:t>入支出决算总表</w:t>
      </w:r>
      <w:bookmarkEnd w:id="54"/>
    </w:p>
    <w:p>
      <w:pPr>
        <w:pStyle w:val="4"/>
        <w:spacing w:before="0" w:after="0" w:line="560" w:lineRule="exact"/>
        <w:rPr>
          <w:rFonts w:ascii="Times New Roman" w:hAnsi="Times New Roman" w:eastAsia="仿宋"/>
          <w:color w:val="000000"/>
        </w:rPr>
      </w:pPr>
      <w:bookmarkStart w:id="55" w:name="_Toc15396620"/>
      <w:r>
        <w:rPr>
          <w:rFonts w:hint="eastAsia" w:ascii="Times New Roman" w:hAnsi="Times New Roman" w:eastAsia="仿宋"/>
          <w:b w:val="0"/>
          <w:color w:val="000000"/>
        </w:rPr>
        <w:t>二、收</w:t>
      </w:r>
      <w:r>
        <w:rPr>
          <w:rStyle w:val="26"/>
          <w:rFonts w:hint="eastAsia" w:ascii="Times New Roman" w:hAnsi="Times New Roman" w:eastAsia="仿宋"/>
          <w:b w:val="0"/>
          <w:bCs w:val="0"/>
        </w:rPr>
        <w:t>入决算表</w:t>
      </w:r>
      <w:bookmarkEnd w:id="55"/>
    </w:p>
    <w:p>
      <w:pPr>
        <w:pStyle w:val="4"/>
        <w:spacing w:before="0" w:after="0" w:line="560" w:lineRule="exact"/>
        <w:rPr>
          <w:rFonts w:ascii="Times New Roman" w:hAnsi="Times New Roman" w:eastAsia="仿宋"/>
          <w:color w:val="000000"/>
        </w:rPr>
      </w:pPr>
      <w:bookmarkStart w:id="56" w:name="_Toc15396621"/>
      <w:r>
        <w:rPr>
          <w:rStyle w:val="26"/>
          <w:rFonts w:hint="eastAsia" w:ascii="Times New Roman" w:hAnsi="Times New Roman" w:eastAsia="仿宋"/>
          <w:b w:val="0"/>
          <w:bCs w:val="0"/>
        </w:rPr>
        <w:t>三、</w:t>
      </w:r>
      <w:r>
        <w:rPr>
          <w:rFonts w:hint="eastAsia" w:ascii="Times New Roman" w:hAnsi="Times New Roman" w:eastAsia="仿宋"/>
          <w:b w:val="0"/>
          <w:color w:val="000000"/>
        </w:rPr>
        <w:t>支</w:t>
      </w:r>
      <w:r>
        <w:rPr>
          <w:rStyle w:val="26"/>
          <w:rFonts w:hint="eastAsia" w:ascii="Times New Roman" w:hAnsi="Times New Roman" w:eastAsia="仿宋"/>
          <w:b w:val="0"/>
          <w:bCs w:val="0"/>
        </w:rPr>
        <w:t>出决算表</w:t>
      </w:r>
      <w:bookmarkEnd w:id="56"/>
    </w:p>
    <w:p>
      <w:pPr>
        <w:pStyle w:val="4"/>
        <w:spacing w:before="0" w:after="0" w:line="560" w:lineRule="exact"/>
        <w:rPr>
          <w:rFonts w:ascii="Times New Roman" w:hAnsi="Times New Roman" w:eastAsia="仿宋"/>
          <w:b w:val="0"/>
          <w:color w:val="000000"/>
        </w:rPr>
      </w:pPr>
      <w:bookmarkStart w:id="57" w:name="_Toc15396622"/>
      <w:r>
        <w:rPr>
          <w:rStyle w:val="26"/>
          <w:rFonts w:hint="eastAsia" w:ascii="Times New Roman" w:hAnsi="Times New Roman" w:eastAsia="仿宋"/>
          <w:b w:val="0"/>
          <w:bCs w:val="0"/>
        </w:rPr>
        <w:t>四、</w:t>
      </w:r>
      <w:r>
        <w:rPr>
          <w:rFonts w:hint="eastAsia" w:ascii="Times New Roman" w:hAnsi="Times New Roman" w:eastAsia="仿宋"/>
          <w:b w:val="0"/>
          <w:color w:val="000000"/>
        </w:rPr>
        <w:t>财</w:t>
      </w:r>
      <w:r>
        <w:rPr>
          <w:rStyle w:val="26"/>
          <w:rFonts w:hint="eastAsia" w:ascii="Times New Roman" w:hAnsi="Times New Roman" w:eastAsia="仿宋"/>
          <w:b w:val="0"/>
          <w:bCs w:val="0"/>
        </w:rPr>
        <w:t>政拨款收入支出决算总表</w:t>
      </w:r>
      <w:bookmarkEnd w:id="57"/>
    </w:p>
    <w:p>
      <w:pPr>
        <w:pStyle w:val="4"/>
        <w:spacing w:before="0" w:after="0" w:line="560" w:lineRule="exact"/>
        <w:rPr>
          <w:rStyle w:val="26"/>
          <w:rFonts w:ascii="Times New Roman" w:hAnsi="Times New Roman" w:eastAsia="仿宋"/>
          <w:b w:val="0"/>
          <w:bCs w:val="0"/>
        </w:rPr>
      </w:pPr>
      <w:bookmarkStart w:id="58" w:name="_Toc15396623"/>
      <w:r>
        <w:rPr>
          <w:rStyle w:val="26"/>
          <w:rFonts w:hint="eastAsia" w:ascii="Times New Roman" w:hAnsi="Times New Roman" w:eastAsia="仿宋"/>
          <w:b w:val="0"/>
          <w:bCs w:val="0"/>
        </w:rPr>
        <w:t>五、</w:t>
      </w:r>
      <w:r>
        <w:rPr>
          <w:rFonts w:hint="eastAsia" w:ascii="Times New Roman" w:hAnsi="Times New Roman" w:eastAsia="仿宋"/>
          <w:b w:val="0"/>
          <w:color w:val="000000"/>
        </w:rPr>
        <w:t>财</w:t>
      </w:r>
      <w:r>
        <w:rPr>
          <w:rStyle w:val="26"/>
          <w:rFonts w:hint="eastAsia" w:ascii="Times New Roman" w:hAnsi="Times New Roman" w:eastAsia="仿宋"/>
          <w:b w:val="0"/>
          <w:bCs w:val="0"/>
        </w:rPr>
        <w:t>政拨款支出决算明细表</w:t>
      </w:r>
      <w:bookmarkEnd w:id="58"/>
      <w:bookmarkStart w:id="59" w:name="_Toc15396624"/>
    </w:p>
    <w:p>
      <w:pPr>
        <w:pStyle w:val="4"/>
        <w:spacing w:before="0" w:after="0" w:line="560" w:lineRule="exact"/>
        <w:rPr>
          <w:rFonts w:ascii="Times New Roman" w:hAnsi="Times New Roman" w:eastAsia="仿宋"/>
          <w:color w:val="000000"/>
        </w:rPr>
      </w:pPr>
      <w:r>
        <w:rPr>
          <w:rStyle w:val="26"/>
          <w:rFonts w:hint="eastAsia" w:ascii="Times New Roman" w:hAnsi="Times New Roman" w:eastAsia="仿宋"/>
          <w:b w:val="0"/>
          <w:bCs w:val="0"/>
        </w:rPr>
        <w:t>六、</w:t>
      </w:r>
      <w:r>
        <w:rPr>
          <w:rFonts w:hint="eastAsia" w:ascii="Times New Roman" w:hAnsi="Times New Roman" w:eastAsia="仿宋"/>
          <w:b w:val="0"/>
          <w:color w:val="000000"/>
        </w:rPr>
        <w:t>一</w:t>
      </w:r>
      <w:r>
        <w:rPr>
          <w:rStyle w:val="26"/>
          <w:rFonts w:hint="eastAsia" w:ascii="Times New Roman" w:hAnsi="Times New Roman" w:eastAsia="仿宋"/>
          <w:b w:val="0"/>
          <w:bCs w:val="0"/>
        </w:rPr>
        <w:t>般公共预算财政拨款支出决算表</w:t>
      </w:r>
      <w:bookmarkEnd w:id="59"/>
    </w:p>
    <w:p>
      <w:pPr>
        <w:pStyle w:val="4"/>
        <w:spacing w:before="0" w:after="0" w:line="560" w:lineRule="exact"/>
        <w:rPr>
          <w:rFonts w:ascii="Times New Roman" w:hAnsi="Times New Roman" w:eastAsia="仿宋"/>
          <w:color w:val="000000"/>
        </w:rPr>
      </w:pPr>
      <w:bookmarkStart w:id="60" w:name="_Toc15396625"/>
      <w:r>
        <w:rPr>
          <w:rStyle w:val="26"/>
          <w:rFonts w:hint="eastAsia" w:ascii="Times New Roman" w:hAnsi="Times New Roman" w:eastAsia="仿宋"/>
          <w:b w:val="0"/>
          <w:bCs w:val="0"/>
        </w:rPr>
        <w:t>七、</w:t>
      </w:r>
      <w:r>
        <w:rPr>
          <w:rFonts w:hint="eastAsia" w:ascii="Times New Roman" w:hAnsi="Times New Roman" w:eastAsia="仿宋"/>
          <w:b w:val="0"/>
          <w:color w:val="000000"/>
        </w:rPr>
        <w:t>一</w:t>
      </w:r>
      <w:r>
        <w:rPr>
          <w:rStyle w:val="26"/>
          <w:rFonts w:hint="eastAsia" w:ascii="Times New Roman" w:hAnsi="Times New Roman" w:eastAsia="仿宋"/>
          <w:b w:val="0"/>
          <w:bCs w:val="0"/>
        </w:rPr>
        <w:t>般公共预算财政拨款支出决算明细表</w:t>
      </w:r>
      <w:bookmarkEnd w:id="60"/>
    </w:p>
    <w:p>
      <w:pPr>
        <w:pStyle w:val="4"/>
        <w:spacing w:before="0" w:after="0" w:line="560" w:lineRule="exact"/>
        <w:rPr>
          <w:rFonts w:ascii="Times New Roman" w:hAnsi="Times New Roman" w:eastAsia="仿宋"/>
          <w:color w:val="000000"/>
        </w:rPr>
      </w:pPr>
      <w:bookmarkStart w:id="61" w:name="_Toc15396626"/>
      <w:r>
        <w:rPr>
          <w:rStyle w:val="26"/>
          <w:rFonts w:hint="eastAsia" w:ascii="Times New Roman" w:hAnsi="Times New Roman" w:eastAsia="仿宋"/>
          <w:b w:val="0"/>
          <w:bCs w:val="0"/>
        </w:rPr>
        <w:t>八、</w:t>
      </w:r>
      <w:r>
        <w:rPr>
          <w:rFonts w:hint="eastAsia" w:ascii="Times New Roman" w:hAnsi="Times New Roman" w:eastAsia="仿宋"/>
          <w:b w:val="0"/>
          <w:color w:val="000000"/>
        </w:rPr>
        <w:t>一</w:t>
      </w:r>
      <w:r>
        <w:rPr>
          <w:rStyle w:val="26"/>
          <w:rFonts w:hint="eastAsia" w:ascii="Times New Roman" w:hAnsi="Times New Roman" w:eastAsia="仿宋"/>
          <w:b w:val="0"/>
          <w:bCs w:val="0"/>
        </w:rPr>
        <w:t>般公共预算财政拨款基本支出决算表</w:t>
      </w:r>
      <w:bookmarkEnd w:id="61"/>
    </w:p>
    <w:p>
      <w:pPr>
        <w:pStyle w:val="4"/>
        <w:spacing w:before="0" w:after="0" w:line="560" w:lineRule="exact"/>
        <w:rPr>
          <w:rFonts w:ascii="Times New Roman" w:hAnsi="Times New Roman" w:eastAsia="仿宋"/>
          <w:color w:val="000000"/>
        </w:rPr>
      </w:pPr>
      <w:bookmarkStart w:id="62" w:name="_Toc15396627"/>
      <w:r>
        <w:rPr>
          <w:rStyle w:val="26"/>
          <w:rFonts w:hint="eastAsia" w:ascii="Times New Roman" w:hAnsi="Times New Roman" w:eastAsia="仿宋"/>
          <w:b w:val="0"/>
          <w:bCs w:val="0"/>
        </w:rPr>
        <w:t>九、</w:t>
      </w:r>
      <w:r>
        <w:rPr>
          <w:rFonts w:hint="eastAsia" w:ascii="Times New Roman" w:hAnsi="Times New Roman" w:eastAsia="仿宋"/>
          <w:b w:val="0"/>
          <w:color w:val="000000"/>
        </w:rPr>
        <w:t>一</w:t>
      </w:r>
      <w:r>
        <w:rPr>
          <w:rStyle w:val="26"/>
          <w:rFonts w:hint="eastAsia" w:ascii="Times New Roman" w:hAnsi="Times New Roman" w:eastAsia="仿宋"/>
          <w:b w:val="0"/>
          <w:bCs w:val="0"/>
        </w:rPr>
        <w:t>般公共预算财政拨款项目支出决算表</w:t>
      </w:r>
      <w:bookmarkEnd w:id="62"/>
    </w:p>
    <w:p>
      <w:pPr>
        <w:pStyle w:val="4"/>
        <w:spacing w:before="0" w:after="0" w:line="560" w:lineRule="exact"/>
        <w:rPr>
          <w:rFonts w:ascii="Times New Roman" w:hAnsi="Times New Roman" w:eastAsia="仿宋"/>
          <w:color w:val="000000"/>
        </w:rPr>
      </w:pPr>
      <w:bookmarkStart w:id="63" w:name="_Toc15396628"/>
      <w:r>
        <w:rPr>
          <w:rStyle w:val="26"/>
          <w:rFonts w:hint="eastAsia" w:ascii="Times New Roman" w:hAnsi="Times New Roman" w:eastAsia="仿宋"/>
          <w:b w:val="0"/>
          <w:bCs w:val="0"/>
        </w:rPr>
        <w:t>十、</w:t>
      </w:r>
      <w:r>
        <w:rPr>
          <w:rFonts w:hint="eastAsia" w:ascii="Times New Roman" w:hAnsi="Times New Roman" w:eastAsia="仿宋"/>
          <w:b w:val="0"/>
          <w:color w:val="000000"/>
        </w:rPr>
        <w:t>一</w:t>
      </w:r>
      <w:r>
        <w:rPr>
          <w:rStyle w:val="26"/>
          <w:rFonts w:hint="eastAsia" w:ascii="Times New Roman" w:hAnsi="Times New Roman" w:eastAsia="仿宋"/>
          <w:b w:val="0"/>
          <w:bCs w:val="0"/>
        </w:rPr>
        <w:t>般公共预算财政拨款“三公”经费支出决算表</w:t>
      </w:r>
      <w:bookmarkEnd w:id="63"/>
    </w:p>
    <w:p>
      <w:pPr>
        <w:pStyle w:val="4"/>
        <w:spacing w:before="0" w:after="0" w:line="560" w:lineRule="exact"/>
        <w:rPr>
          <w:rFonts w:ascii="Times New Roman" w:hAnsi="Times New Roman" w:eastAsia="仿宋"/>
          <w:color w:val="000000"/>
        </w:rPr>
      </w:pPr>
      <w:bookmarkStart w:id="64" w:name="_Toc15396629"/>
      <w:r>
        <w:rPr>
          <w:rStyle w:val="26"/>
          <w:rFonts w:hint="eastAsia" w:ascii="Times New Roman" w:hAnsi="Times New Roman" w:eastAsia="仿宋"/>
          <w:b w:val="0"/>
          <w:bCs w:val="0"/>
        </w:rPr>
        <w:t>十一、</w:t>
      </w:r>
      <w:r>
        <w:rPr>
          <w:rFonts w:hint="eastAsia" w:ascii="Times New Roman" w:hAnsi="Times New Roman" w:eastAsia="仿宋"/>
          <w:b w:val="0"/>
          <w:color w:val="000000"/>
        </w:rPr>
        <w:t>政</w:t>
      </w:r>
      <w:r>
        <w:rPr>
          <w:rStyle w:val="26"/>
          <w:rFonts w:hint="eastAsia" w:ascii="Times New Roman" w:hAnsi="Times New Roman" w:eastAsia="仿宋"/>
          <w:b w:val="0"/>
          <w:bCs w:val="0"/>
        </w:rPr>
        <w:t>府性基金预算财政拨款收入支出决算表</w:t>
      </w:r>
      <w:bookmarkEnd w:id="64"/>
    </w:p>
    <w:p>
      <w:pPr>
        <w:pStyle w:val="4"/>
        <w:spacing w:before="0" w:after="0" w:line="560" w:lineRule="exact"/>
        <w:rPr>
          <w:rFonts w:ascii="Times New Roman" w:hAnsi="Times New Roman" w:eastAsia="仿宋"/>
          <w:color w:val="000000"/>
        </w:rPr>
      </w:pPr>
      <w:bookmarkStart w:id="65" w:name="_Toc15396630"/>
      <w:r>
        <w:rPr>
          <w:rStyle w:val="26"/>
          <w:rFonts w:hint="eastAsia" w:ascii="Times New Roman" w:hAnsi="Times New Roman" w:eastAsia="仿宋"/>
          <w:b w:val="0"/>
          <w:bCs w:val="0"/>
        </w:rPr>
        <w:t>十二、</w:t>
      </w:r>
      <w:r>
        <w:rPr>
          <w:rFonts w:hint="eastAsia" w:ascii="Times New Roman" w:hAnsi="Times New Roman" w:eastAsia="仿宋"/>
          <w:b w:val="0"/>
          <w:color w:val="000000"/>
        </w:rPr>
        <w:t>政</w:t>
      </w:r>
      <w:r>
        <w:rPr>
          <w:rStyle w:val="26"/>
          <w:rFonts w:hint="eastAsia" w:ascii="Times New Roman" w:hAnsi="Times New Roman" w:eastAsia="仿宋"/>
          <w:b w:val="0"/>
          <w:bCs w:val="0"/>
        </w:rPr>
        <w:t>府性基金预算财政拨款“三公”经费支出决算表</w:t>
      </w:r>
      <w:bookmarkEnd w:id="65"/>
    </w:p>
    <w:p>
      <w:pPr>
        <w:pStyle w:val="4"/>
        <w:spacing w:before="0" w:after="0" w:line="560" w:lineRule="exact"/>
        <w:rPr>
          <w:rStyle w:val="26"/>
          <w:rFonts w:ascii="Times New Roman" w:hAnsi="Times New Roman" w:eastAsia="仿宋"/>
          <w:b w:val="0"/>
          <w:bCs w:val="0"/>
        </w:rPr>
      </w:pPr>
      <w:bookmarkStart w:id="66" w:name="_Toc15396631"/>
      <w:r>
        <w:rPr>
          <w:rStyle w:val="26"/>
          <w:rFonts w:hint="eastAsia" w:ascii="Times New Roman" w:hAnsi="Times New Roman" w:eastAsia="仿宋"/>
          <w:b w:val="0"/>
          <w:bCs w:val="0"/>
        </w:rPr>
        <w:t>十三、</w:t>
      </w:r>
      <w:r>
        <w:rPr>
          <w:rFonts w:hint="eastAsia" w:ascii="Times New Roman" w:hAnsi="Times New Roman" w:eastAsia="仿宋"/>
          <w:b w:val="0"/>
          <w:color w:val="000000"/>
        </w:rPr>
        <w:t>国</w:t>
      </w:r>
      <w:r>
        <w:rPr>
          <w:rStyle w:val="26"/>
          <w:rFonts w:hint="eastAsia" w:ascii="Times New Roman" w:hAnsi="Times New Roman" w:eastAsia="仿宋"/>
          <w:b w:val="0"/>
          <w:bCs w:val="0"/>
        </w:rPr>
        <w:t>有资本经营预算财政拨款收入支出决算表</w:t>
      </w:r>
      <w:bookmarkEnd w:id="66"/>
    </w:p>
    <w:p>
      <w:pPr>
        <w:spacing w:line="560" w:lineRule="exact"/>
        <w:rPr>
          <w:rFonts w:eastAsia="仿宋"/>
        </w:rPr>
      </w:pPr>
      <w:r>
        <w:rPr>
          <w:rStyle w:val="26"/>
          <w:rFonts w:hint="eastAsia" w:ascii="Times New Roman" w:hAnsi="Times New Roman" w:eastAsia="仿宋"/>
          <w:b w:val="0"/>
          <w:bCs w:val="0"/>
        </w:rPr>
        <w:t>十四、国有资本经营预算财政拨款支出决算表</w:t>
      </w:r>
    </w:p>
    <w:sectPr>
      <w:footerReference r:id="rId9" w:type="first"/>
      <w:footerReference r:id="rId8" w:type="default"/>
      <w:pgSz w:w="11906" w:h="16838"/>
      <w:pgMar w:top="1440" w:right="1531" w:bottom="1417" w:left="158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粗黑宋简体">
    <w:altName w:val="方正书宋_GBK"/>
    <w:panose1 w:val="00000000000000000000"/>
    <w:charset w:val="86"/>
    <w:family w:val="auto"/>
    <w:pitch w:val="default"/>
    <w:sig w:usb0="00000000" w:usb1="00000000"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129540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10.2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DxMgvB1AAAAAcBAAAPAAAAAAAAAAEAIAAAADgAAABkcnMvZG93bnJldi54bWxQSwECFAAUAAAA&#10;CACHTuJAL7oseRUCAAAbBAAADgAAAAAAAAABACAAAAA5AQAAZHJzL2Uyb0RvYy54bWxQSwUGAAAA&#10;AAYABgBZAQAAwAU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4384" behindDoc="0" locked="0" layoutInCell="1" allowOverlap="1">
              <wp:simplePos x="0" y="0"/>
              <wp:positionH relativeFrom="margin">
                <wp:posOffset>2759075</wp:posOffset>
              </wp:positionH>
              <wp:positionV relativeFrom="page">
                <wp:posOffset>9779635</wp:posOffset>
              </wp:positionV>
              <wp:extent cx="122555" cy="147320"/>
              <wp:effectExtent l="0" t="0" r="11430" b="6350"/>
              <wp:wrapNone/>
              <wp:docPr id="16" name="文本框 16"/>
              <wp:cNvGraphicFramePr/>
              <a:graphic xmlns:a="http://schemas.openxmlformats.org/drawingml/2006/main">
                <a:graphicData uri="http://schemas.microsoft.com/office/word/2010/wordprocessingShape">
                  <wps:wsp>
                    <wps:cNvSpPr txBox="true"/>
                    <wps:spPr>
                      <a:xfrm>
                        <a:off x="0" y="0"/>
                        <a:ext cx="122400" cy="147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217.25pt;margin-top:770.05pt;height:11.6pt;width:9.65pt;mso-position-horizontal-relative:margin;mso-position-vertical-relative:page;mso-wrap-style:none;z-index:251664384;mso-width-relative:page;mso-height-relative:page;" filled="f" stroked="f" coordsize="21600,21600" o:gfxdata="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D71LbdgAAAANAQAADwAAAAAAAAABACAAAAA4AAAAZHJzL2Rvd25yZXYueG1sUEsB&#10;AhQAFAAAAAgAh07iQDv2QUsYAgAAGQQAAA4AAAAAAAAAAQAgAAAAPQEAAGRycy9lMm9Eb2MueG1s&#10;UEsFBgAAAAAGAAYAWQEAAMc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12</w:t>
                    </w:r>
                    <w:r>
                      <w:fldChar w:fldCharType="end"/>
                    </w:r>
                  </w:p>
                </w:txbxContent>
              </v:textbox>
            </v:shape>
          </w:pict>
        </mc:Fallback>
      </mc:AlternateContent>
    </w:r>
  </w:p>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2873819"/>
      <w:docPartObj>
        <w:docPartGallery w:val="AutoText"/>
      </w:docPartObj>
    </w:sdtPr>
    <w:sdtContent>
      <w:p>
        <w:pPr>
          <w:pStyle w:val="8"/>
          <w:jc w:val="center"/>
        </w:pPr>
        <w:r>
          <w:fldChar w:fldCharType="begin"/>
        </w:r>
        <w:r>
          <w:instrText xml:space="preserve">PAGE   \* MERGEFORMAT</w:instrText>
        </w:r>
        <w:r>
          <w:fldChar w:fldCharType="separate"/>
        </w:r>
        <w:r>
          <w:rPr>
            <w:lang w:val="zh-CN"/>
          </w:rPr>
          <w:t>1</w:t>
        </w:r>
        <w:r>
          <w:fldChar w:fldCharType="end"/>
        </w:r>
      </w:p>
    </w:sdtContent>
  </w:sdt>
  <w:p>
    <w:pPr>
      <w:pStyle w:val="8"/>
      <w:rPr>
        <w:rFonts w:asciiTheme="minorEastAsia" w:hAnsiTheme="minorEastAsia" w:eastAsiaTheme="minor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000222C6"/>
    <w:rsid w:val="0002549F"/>
    <w:rsid w:val="000468DB"/>
    <w:rsid w:val="00062DF4"/>
    <w:rsid w:val="0006487A"/>
    <w:rsid w:val="00065F8F"/>
    <w:rsid w:val="00070A43"/>
    <w:rsid w:val="000768F2"/>
    <w:rsid w:val="0009184B"/>
    <w:rsid w:val="00094236"/>
    <w:rsid w:val="0009593C"/>
    <w:rsid w:val="00096639"/>
    <w:rsid w:val="00097322"/>
    <w:rsid w:val="000A13F2"/>
    <w:rsid w:val="000A6A92"/>
    <w:rsid w:val="000B047F"/>
    <w:rsid w:val="000B5923"/>
    <w:rsid w:val="000B5A48"/>
    <w:rsid w:val="000B6FF3"/>
    <w:rsid w:val="000C3467"/>
    <w:rsid w:val="000C3CA6"/>
    <w:rsid w:val="000C7616"/>
    <w:rsid w:val="000D0B8B"/>
    <w:rsid w:val="000D1267"/>
    <w:rsid w:val="000D1D50"/>
    <w:rsid w:val="000D5782"/>
    <w:rsid w:val="000E6613"/>
    <w:rsid w:val="000E7119"/>
    <w:rsid w:val="00107459"/>
    <w:rsid w:val="00114E9B"/>
    <w:rsid w:val="00142216"/>
    <w:rsid w:val="00144D6A"/>
    <w:rsid w:val="00145D4B"/>
    <w:rsid w:val="0014729F"/>
    <w:rsid w:val="00153699"/>
    <w:rsid w:val="00153B3C"/>
    <w:rsid w:val="00157BAB"/>
    <w:rsid w:val="001654D1"/>
    <w:rsid w:val="00174046"/>
    <w:rsid w:val="00174518"/>
    <w:rsid w:val="0018106D"/>
    <w:rsid w:val="001877A7"/>
    <w:rsid w:val="00191536"/>
    <w:rsid w:val="00196687"/>
    <w:rsid w:val="001B20C2"/>
    <w:rsid w:val="001B6526"/>
    <w:rsid w:val="001C0962"/>
    <w:rsid w:val="001C5E63"/>
    <w:rsid w:val="001C6ADD"/>
    <w:rsid w:val="001D7531"/>
    <w:rsid w:val="001D7600"/>
    <w:rsid w:val="001E737D"/>
    <w:rsid w:val="001F0592"/>
    <w:rsid w:val="001F7506"/>
    <w:rsid w:val="002006CD"/>
    <w:rsid w:val="00202B36"/>
    <w:rsid w:val="00204B7A"/>
    <w:rsid w:val="00204CDE"/>
    <w:rsid w:val="0021101A"/>
    <w:rsid w:val="00211036"/>
    <w:rsid w:val="00220536"/>
    <w:rsid w:val="00221EAB"/>
    <w:rsid w:val="00235629"/>
    <w:rsid w:val="00247234"/>
    <w:rsid w:val="00251F31"/>
    <w:rsid w:val="00252EE1"/>
    <w:rsid w:val="00260C38"/>
    <w:rsid w:val="002616C0"/>
    <w:rsid w:val="00262238"/>
    <w:rsid w:val="00265364"/>
    <w:rsid w:val="00265372"/>
    <w:rsid w:val="002662AA"/>
    <w:rsid w:val="00271DDA"/>
    <w:rsid w:val="00280496"/>
    <w:rsid w:val="00285661"/>
    <w:rsid w:val="00294DC9"/>
    <w:rsid w:val="00295495"/>
    <w:rsid w:val="002A31DE"/>
    <w:rsid w:val="002B2613"/>
    <w:rsid w:val="002D5040"/>
    <w:rsid w:val="002D6D05"/>
    <w:rsid w:val="002E7478"/>
    <w:rsid w:val="002F00F1"/>
    <w:rsid w:val="002F1818"/>
    <w:rsid w:val="002F34C2"/>
    <w:rsid w:val="002F567B"/>
    <w:rsid w:val="003027D6"/>
    <w:rsid w:val="00305568"/>
    <w:rsid w:val="00316125"/>
    <w:rsid w:val="003206B8"/>
    <w:rsid w:val="003216A9"/>
    <w:rsid w:val="00322E76"/>
    <w:rsid w:val="0032392B"/>
    <w:rsid w:val="00335A74"/>
    <w:rsid w:val="0034599B"/>
    <w:rsid w:val="00364219"/>
    <w:rsid w:val="0036561B"/>
    <w:rsid w:val="00367DD9"/>
    <w:rsid w:val="0037013F"/>
    <w:rsid w:val="00380C92"/>
    <w:rsid w:val="003A484F"/>
    <w:rsid w:val="003A4883"/>
    <w:rsid w:val="003B0BE0"/>
    <w:rsid w:val="003B0C1B"/>
    <w:rsid w:val="003B688C"/>
    <w:rsid w:val="003C0291"/>
    <w:rsid w:val="003C2F00"/>
    <w:rsid w:val="003C39AE"/>
    <w:rsid w:val="003C7B60"/>
    <w:rsid w:val="003D0C0F"/>
    <w:rsid w:val="003D1FB2"/>
    <w:rsid w:val="003D66DA"/>
    <w:rsid w:val="003D7E12"/>
    <w:rsid w:val="003E1310"/>
    <w:rsid w:val="003E6F55"/>
    <w:rsid w:val="00406254"/>
    <w:rsid w:val="004223DE"/>
    <w:rsid w:val="00424AB5"/>
    <w:rsid w:val="00433BAC"/>
    <w:rsid w:val="00434489"/>
    <w:rsid w:val="00437085"/>
    <w:rsid w:val="0044094D"/>
    <w:rsid w:val="00443880"/>
    <w:rsid w:val="004464F4"/>
    <w:rsid w:val="00471401"/>
    <w:rsid w:val="00473F31"/>
    <w:rsid w:val="0048263A"/>
    <w:rsid w:val="00487E5D"/>
    <w:rsid w:val="004A1038"/>
    <w:rsid w:val="004A711F"/>
    <w:rsid w:val="004B199D"/>
    <w:rsid w:val="004B4690"/>
    <w:rsid w:val="004C70FE"/>
    <w:rsid w:val="004E0A2D"/>
    <w:rsid w:val="004E206B"/>
    <w:rsid w:val="004E6DF7"/>
    <w:rsid w:val="004E75C7"/>
    <w:rsid w:val="004F0FBD"/>
    <w:rsid w:val="005048D3"/>
    <w:rsid w:val="00505A47"/>
    <w:rsid w:val="00510959"/>
    <w:rsid w:val="00512FDA"/>
    <w:rsid w:val="0051429F"/>
    <w:rsid w:val="00520D4C"/>
    <w:rsid w:val="00520DA0"/>
    <w:rsid w:val="00524092"/>
    <w:rsid w:val="00541266"/>
    <w:rsid w:val="00556C9B"/>
    <w:rsid w:val="005664BB"/>
    <w:rsid w:val="00566FFA"/>
    <w:rsid w:val="0057481D"/>
    <w:rsid w:val="00577FA5"/>
    <w:rsid w:val="0058486E"/>
    <w:rsid w:val="00585B33"/>
    <w:rsid w:val="00585D3F"/>
    <w:rsid w:val="00587916"/>
    <w:rsid w:val="0059014D"/>
    <w:rsid w:val="00591A68"/>
    <w:rsid w:val="005B5C64"/>
    <w:rsid w:val="005B7CE1"/>
    <w:rsid w:val="005C5337"/>
    <w:rsid w:val="005C6BD0"/>
    <w:rsid w:val="005D1C8B"/>
    <w:rsid w:val="005D468D"/>
    <w:rsid w:val="005D5CED"/>
    <w:rsid w:val="005E7241"/>
    <w:rsid w:val="005E7397"/>
    <w:rsid w:val="005F1A4C"/>
    <w:rsid w:val="005F404E"/>
    <w:rsid w:val="005F7A5C"/>
    <w:rsid w:val="006015E7"/>
    <w:rsid w:val="00603160"/>
    <w:rsid w:val="00605688"/>
    <w:rsid w:val="006070AF"/>
    <w:rsid w:val="00607E6C"/>
    <w:rsid w:val="006101B1"/>
    <w:rsid w:val="0061448E"/>
    <w:rsid w:val="00614E44"/>
    <w:rsid w:val="0062270A"/>
    <w:rsid w:val="00622830"/>
    <w:rsid w:val="006233A3"/>
    <w:rsid w:val="00623DA0"/>
    <w:rsid w:val="00626DC7"/>
    <w:rsid w:val="00630AEF"/>
    <w:rsid w:val="006325F8"/>
    <w:rsid w:val="00632FAF"/>
    <w:rsid w:val="00633463"/>
    <w:rsid w:val="00634C9A"/>
    <w:rsid w:val="006379B1"/>
    <w:rsid w:val="006440E4"/>
    <w:rsid w:val="006512BC"/>
    <w:rsid w:val="006572E4"/>
    <w:rsid w:val="00662F42"/>
    <w:rsid w:val="0066343B"/>
    <w:rsid w:val="00664777"/>
    <w:rsid w:val="006748A4"/>
    <w:rsid w:val="00681A31"/>
    <w:rsid w:val="00683E73"/>
    <w:rsid w:val="006A3141"/>
    <w:rsid w:val="006A5E34"/>
    <w:rsid w:val="006B2422"/>
    <w:rsid w:val="006B2B9A"/>
    <w:rsid w:val="006B7A65"/>
    <w:rsid w:val="006C1937"/>
    <w:rsid w:val="006C5619"/>
    <w:rsid w:val="006E02C1"/>
    <w:rsid w:val="006E7591"/>
    <w:rsid w:val="006F020C"/>
    <w:rsid w:val="007127B7"/>
    <w:rsid w:val="0071798E"/>
    <w:rsid w:val="00720244"/>
    <w:rsid w:val="00734DBD"/>
    <w:rsid w:val="007416B6"/>
    <w:rsid w:val="00746F48"/>
    <w:rsid w:val="0075404D"/>
    <w:rsid w:val="0076182A"/>
    <w:rsid w:val="00763C0D"/>
    <w:rsid w:val="00767B7E"/>
    <w:rsid w:val="007770C3"/>
    <w:rsid w:val="00781F98"/>
    <w:rsid w:val="00784D24"/>
    <w:rsid w:val="00785FBA"/>
    <w:rsid w:val="0078639E"/>
    <w:rsid w:val="00786E4A"/>
    <w:rsid w:val="007875EB"/>
    <w:rsid w:val="0079426B"/>
    <w:rsid w:val="007B3E1F"/>
    <w:rsid w:val="007D1682"/>
    <w:rsid w:val="007D312A"/>
    <w:rsid w:val="007D3F19"/>
    <w:rsid w:val="007E23B0"/>
    <w:rsid w:val="007E23E5"/>
    <w:rsid w:val="007F1991"/>
    <w:rsid w:val="007F2C2F"/>
    <w:rsid w:val="007F55FC"/>
    <w:rsid w:val="007F5665"/>
    <w:rsid w:val="00800112"/>
    <w:rsid w:val="00804D21"/>
    <w:rsid w:val="008058A0"/>
    <w:rsid w:val="00813348"/>
    <w:rsid w:val="008203DE"/>
    <w:rsid w:val="0082094C"/>
    <w:rsid w:val="008253BB"/>
    <w:rsid w:val="00831925"/>
    <w:rsid w:val="0083706E"/>
    <w:rsid w:val="008408F6"/>
    <w:rsid w:val="008423A5"/>
    <w:rsid w:val="00850625"/>
    <w:rsid w:val="00853718"/>
    <w:rsid w:val="00855221"/>
    <w:rsid w:val="00860645"/>
    <w:rsid w:val="00863FB4"/>
    <w:rsid w:val="00871F71"/>
    <w:rsid w:val="00872FD8"/>
    <w:rsid w:val="00885AF4"/>
    <w:rsid w:val="0089315C"/>
    <w:rsid w:val="008939CD"/>
    <w:rsid w:val="008A2A8E"/>
    <w:rsid w:val="008B768C"/>
    <w:rsid w:val="008C0506"/>
    <w:rsid w:val="008C4DB1"/>
    <w:rsid w:val="008C4EAF"/>
    <w:rsid w:val="008C5176"/>
    <w:rsid w:val="008C7FD0"/>
    <w:rsid w:val="008D2100"/>
    <w:rsid w:val="008E1DE7"/>
    <w:rsid w:val="008E707C"/>
    <w:rsid w:val="008F6C76"/>
    <w:rsid w:val="00900B08"/>
    <w:rsid w:val="00902155"/>
    <w:rsid w:val="00902FA3"/>
    <w:rsid w:val="00906512"/>
    <w:rsid w:val="00923564"/>
    <w:rsid w:val="0092392E"/>
    <w:rsid w:val="009315F9"/>
    <w:rsid w:val="00932EE3"/>
    <w:rsid w:val="00933499"/>
    <w:rsid w:val="00935C98"/>
    <w:rsid w:val="00935E84"/>
    <w:rsid w:val="009404EA"/>
    <w:rsid w:val="00946945"/>
    <w:rsid w:val="00951248"/>
    <w:rsid w:val="0095152F"/>
    <w:rsid w:val="00952D36"/>
    <w:rsid w:val="00954C49"/>
    <w:rsid w:val="00955E37"/>
    <w:rsid w:val="0097099F"/>
    <w:rsid w:val="00971997"/>
    <w:rsid w:val="00971FFC"/>
    <w:rsid w:val="0097571A"/>
    <w:rsid w:val="0098660A"/>
    <w:rsid w:val="009931C3"/>
    <w:rsid w:val="009978DD"/>
    <w:rsid w:val="009B2C43"/>
    <w:rsid w:val="009B4B4F"/>
    <w:rsid w:val="009B4EAE"/>
    <w:rsid w:val="009B7573"/>
    <w:rsid w:val="009C22F4"/>
    <w:rsid w:val="009C2A4B"/>
    <w:rsid w:val="009C2E98"/>
    <w:rsid w:val="009C7F37"/>
    <w:rsid w:val="009D3447"/>
    <w:rsid w:val="009D4711"/>
    <w:rsid w:val="009D571E"/>
    <w:rsid w:val="009E1B90"/>
    <w:rsid w:val="009F020D"/>
    <w:rsid w:val="009F1185"/>
    <w:rsid w:val="009F18CD"/>
    <w:rsid w:val="009F2A13"/>
    <w:rsid w:val="009F7527"/>
    <w:rsid w:val="00A04EB0"/>
    <w:rsid w:val="00A06B4D"/>
    <w:rsid w:val="00A13CC1"/>
    <w:rsid w:val="00A16847"/>
    <w:rsid w:val="00A237D8"/>
    <w:rsid w:val="00A258A1"/>
    <w:rsid w:val="00A268C4"/>
    <w:rsid w:val="00A307CD"/>
    <w:rsid w:val="00A331C8"/>
    <w:rsid w:val="00A40A00"/>
    <w:rsid w:val="00A4142F"/>
    <w:rsid w:val="00A422EB"/>
    <w:rsid w:val="00A45BB7"/>
    <w:rsid w:val="00A515C7"/>
    <w:rsid w:val="00A56DF2"/>
    <w:rsid w:val="00A56E6E"/>
    <w:rsid w:val="00A6586A"/>
    <w:rsid w:val="00A67AB5"/>
    <w:rsid w:val="00A733B2"/>
    <w:rsid w:val="00A741C2"/>
    <w:rsid w:val="00A91760"/>
    <w:rsid w:val="00A93B00"/>
    <w:rsid w:val="00A93C21"/>
    <w:rsid w:val="00AB30D8"/>
    <w:rsid w:val="00AB5094"/>
    <w:rsid w:val="00AB64C9"/>
    <w:rsid w:val="00AC2ACD"/>
    <w:rsid w:val="00AC3C6A"/>
    <w:rsid w:val="00AD5620"/>
    <w:rsid w:val="00AD656B"/>
    <w:rsid w:val="00AD7C1B"/>
    <w:rsid w:val="00AE16BA"/>
    <w:rsid w:val="00AE1EBE"/>
    <w:rsid w:val="00AE69FC"/>
    <w:rsid w:val="00AF3068"/>
    <w:rsid w:val="00B02B32"/>
    <w:rsid w:val="00B0360B"/>
    <w:rsid w:val="00B03C9D"/>
    <w:rsid w:val="00B060AE"/>
    <w:rsid w:val="00B10517"/>
    <w:rsid w:val="00B14E76"/>
    <w:rsid w:val="00B161B8"/>
    <w:rsid w:val="00B17A50"/>
    <w:rsid w:val="00B2048C"/>
    <w:rsid w:val="00B21BA1"/>
    <w:rsid w:val="00B310B9"/>
    <w:rsid w:val="00B35F3F"/>
    <w:rsid w:val="00B36CBB"/>
    <w:rsid w:val="00B41AD8"/>
    <w:rsid w:val="00B425E0"/>
    <w:rsid w:val="00B43837"/>
    <w:rsid w:val="00B440AA"/>
    <w:rsid w:val="00B44B70"/>
    <w:rsid w:val="00B53C56"/>
    <w:rsid w:val="00B57DAF"/>
    <w:rsid w:val="00B75041"/>
    <w:rsid w:val="00B751F3"/>
    <w:rsid w:val="00B764FB"/>
    <w:rsid w:val="00B77EA6"/>
    <w:rsid w:val="00B81598"/>
    <w:rsid w:val="00B841F1"/>
    <w:rsid w:val="00B84FE1"/>
    <w:rsid w:val="00B944D6"/>
    <w:rsid w:val="00BA0F9A"/>
    <w:rsid w:val="00BB4DF0"/>
    <w:rsid w:val="00BC00D3"/>
    <w:rsid w:val="00BC289F"/>
    <w:rsid w:val="00BC2D50"/>
    <w:rsid w:val="00BC5361"/>
    <w:rsid w:val="00BC5460"/>
    <w:rsid w:val="00BC6B50"/>
    <w:rsid w:val="00BD0E25"/>
    <w:rsid w:val="00BF5348"/>
    <w:rsid w:val="00BF5BD6"/>
    <w:rsid w:val="00C03E31"/>
    <w:rsid w:val="00C2720B"/>
    <w:rsid w:val="00C33E72"/>
    <w:rsid w:val="00C354B2"/>
    <w:rsid w:val="00C35554"/>
    <w:rsid w:val="00C37C4E"/>
    <w:rsid w:val="00C42709"/>
    <w:rsid w:val="00C4286D"/>
    <w:rsid w:val="00C5045F"/>
    <w:rsid w:val="00C510B7"/>
    <w:rsid w:val="00C533CC"/>
    <w:rsid w:val="00C5751C"/>
    <w:rsid w:val="00C576BE"/>
    <w:rsid w:val="00C61BFC"/>
    <w:rsid w:val="00C62B85"/>
    <w:rsid w:val="00C64D21"/>
    <w:rsid w:val="00C65438"/>
    <w:rsid w:val="00C72C0D"/>
    <w:rsid w:val="00C87FD8"/>
    <w:rsid w:val="00C91381"/>
    <w:rsid w:val="00C91CBB"/>
    <w:rsid w:val="00CA13F2"/>
    <w:rsid w:val="00CB4E70"/>
    <w:rsid w:val="00CC09B6"/>
    <w:rsid w:val="00CC4CBD"/>
    <w:rsid w:val="00CC666F"/>
    <w:rsid w:val="00CD1E3F"/>
    <w:rsid w:val="00CE44F6"/>
    <w:rsid w:val="00CE49DA"/>
    <w:rsid w:val="00CE7B61"/>
    <w:rsid w:val="00CF7BE8"/>
    <w:rsid w:val="00D00095"/>
    <w:rsid w:val="00D03AE3"/>
    <w:rsid w:val="00D04672"/>
    <w:rsid w:val="00D10376"/>
    <w:rsid w:val="00D114F0"/>
    <w:rsid w:val="00D15116"/>
    <w:rsid w:val="00D16702"/>
    <w:rsid w:val="00D20448"/>
    <w:rsid w:val="00D20620"/>
    <w:rsid w:val="00D223DD"/>
    <w:rsid w:val="00D254F7"/>
    <w:rsid w:val="00D26091"/>
    <w:rsid w:val="00D2685C"/>
    <w:rsid w:val="00D26ECA"/>
    <w:rsid w:val="00D34E7C"/>
    <w:rsid w:val="00D35489"/>
    <w:rsid w:val="00D36AFE"/>
    <w:rsid w:val="00D46F68"/>
    <w:rsid w:val="00D51276"/>
    <w:rsid w:val="00D53927"/>
    <w:rsid w:val="00D55091"/>
    <w:rsid w:val="00D64E7B"/>
    <w:rsid w:val="00D7035F"/>
    <w:rsid w:val="00D72249"/>
    <w:rsid w:val="00D72820"/>
    <w:rsid w:val="00D97B4A"/>
    <w:rsid w:val="00DA634F"/>
    <w:rsid w:val="00DA65AC"/>
    <w:rsid w:val="00DB1913"/>
    <w:rsid w:val="00DB3022"/>
    <w:rsid w:val="00DC410D"/>
    <w:rsid w:val="00DC4DFA"/>
    <w:rsid w:val="00DC5A81"/>
    <w:rsid w:val="00DC68CA"/>
    <w:rsid w:val="00DC7CBA"/>
    <w:rsid w:val="00DD1AAD"/>
    <w:rsid w:val="00DD3038"/>
    <w:rsid w:val="00DD73B7"/>
    <w:rsid w:val="00DE66A6"/>
    <w:rsid w:val="00DF0469"/>
    <w:rsid w:val="00DF28BC"/>
    <w:rsid w:val="00DF34B9"/>
    <w:rsid w:val="00E01053"/>
    <w:rsid w:val="00E07ACF"/>
    <w:rsid w:val="00E2197E"/>
    <w:rsid w:val="00E331A1"/>
    <w:rsid w:val="00E33202"/>
    <w:rsid w:val="00E336A9"/>
    <w:rsid w:val="00E472B1"/>
    <w:rsid w:val="00E475DB"/>
    <w:rsid w:val="00E50624"/>
    <w:rsid w:val="00E568DF"/>
    <w:rsid w:val="00E56AD5"/>
    <w:rsid w:val="00E63BB1"/>
    <w:rsid w:val="00E64269"/>
    <w:rsid w:val="00E80714"/>
    <w:rsid w:val="00E82267"/>
    <w:rsid w:val="00E846A0"/>
    <w:rsid w:val="00E853CE"/>
    <w:rsid w:val="00E867B6"/>
    <w:rsid w:val="00EA010F"/>
    <w:rsid w:val="00EB0685"/>
    <w:rsid w:val="00EB18C1"/>
    <w:rsid w:val="00EB4DA4"/>
    <w:rsid w:val="00EC0E47"/>
    <w:rsid w:val="00EC5022"/>
    <w:rsid w:val="00ED1B63"/>
    <w:rsid w:val="00ED3C1F"/>
    <w:rsid w:val="00ED4085"/>
    <w:rsid w:val="00ED420E"/>
    <w:rsid w:val="00ED6FBE"/>
    <w:rsid w:val="00EE2F57"/>
    <w:rsid w:val="00EE58C9"/>
    <w:rsid w:val="00EF4C34"/>
    <w:rsid w:val="00EF56CB"/>
    <w:rsid w:val="00EF77C6"/>
    <w:rsid w:val="00F05438"/>
    <w:rsid w:val="00F117FB"/>
    <w:rsid w:val="00F12194"/>
    <w:rsid w:val="00F1361C"/>
    <w:rsid w:val="00F156F0"/>
    <w:rsid w:val="00F160C7"/>
    <w:rsid w:val="00F2408F"/>
    <w:rsid w:val="00F240E9"/>
    <w:rsid w:val="00F36D8F"/>
    <w:rsid w:val="00F417B1"/>
    <w:rsid w:val="00F45853"/>
    <w:rsid w:val="00F56D10"/>
    <w:rsid w:val="00F602DF"/>
    <w:rsid w:val="00F754A1"/>
    <w:rsid w:val="00F76E0D"/>
    <w:rsid w:val="00F81FD9"/>
    <w:rsid w:val="00F841AA"/>
    <w:rsid w:val="00F84A94"/>
    <w:rsid w:val="00F87E96"/>
    <w:rsid w:val="00F92EA9"/>
    <w:rsid w:val="00FA23E8"/>
    <w:rsid w:val="00FA45D7"/>
    <w:rsid w:val="00FA5753"/>
    <w:rsid w:val="00FD3CC1"/>
    <w:rsid w:val="00FF1E02"/>
    <w:rsid w:val="00FF30B4"/>
    <w:rsid w:val="01D42AB7"/>
    <w:rsid w:val="0A2032A3"/>
    <w:rsid w:val="0AFE3FC1"/>
    <w:rsid w:val="10C055FF"/>
    <w:rsid w:val="118107EC"/>
    <w:rsid w:val="11D03019"/>
    <w:rsid w:val="1401390E"/>
    <w:rsid w:val="16BB723D"/>
    <w:rsid w:val="18015F3F"/>
    <w:rsid w:val="1BE8440E"/>
    <w:rsid w:val="1C1F1DB0"/>
    <w:rsid w:val="1D155CEE"/>
    <w:rsid w:val="20F57F95"/>
    <w:rsid w:val="240371BF"/>
    <w:rsid w:val="258F685A"/>
    <w:rsid w:val="27842671"/>
    <w:rsid w:val="29FD04D3"/>
    <w:rsid w:val="2A254389"/>
    <w:rsid w:val="2ABE7A3E"/>
    <w:rsid w:val="319F7F4E"/>
    <w:rsid w:val="35AB6C25"/>
    <w:rsid w:val="3C0C0783"/>
    <w:rsid w:val="41AE7554"/>
    <w:rsid w:val="44167A77"/>
    <w:rsid w:val="493C27E9"/>
    <w:rsid w:val="496F39ED"/>
    <w:rsid w:val="49FF41D3"/>
    <w:rsid w:val="4BE068DB"/>
    <w:rsid w:val="4BF6002B"/>
    <w:rsid w:val="4E61148D"/>
    <w:rsid w:val="4ECE2238"/>
    <w:rsid w:val="62311DE1"/>
    <w:rsid w:val="64CA39A1"/>
    <w:rsid w:val="6C4A05C8"/>
    <w:rsid w:val="72734D90"/>
    <w:rsid w:val="73877469"/>
    <w:rsid w:val="F2F93E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Emphasis"/>
    <w:basedOn w:val="13"/>
    <w:qFormat/>
    <w:uiPriority w:val="99"/>
    <w:rPr>
      <w:rFonts w:cs="Times New Roman"/>
      <w:i/>
    </w:rPr>
  </w:style>
  <w:style w:type="character" w:styleId="16">
    <w:name w:val="Hyperlink"/>
    <w:basedOn w:val="13"/>
    <w:unhideWhenUsed/>
    <w:qFormat/>
    <w:uiPriority w:val="99"/>
    <w:rPr>
      <w:color w:val="0000FF" w:themeColor="hyperlink"/>
      <w:u w:val="single"/>
      <w14:textFill>
        <w14:solidFill>
          <w14:schemeClr w14:val="hlink"/>
        </w14:solidFill>
      </w14:textFill>
    </w:rPr>
  </w:style>
  <w:style w:type="character" w:customStyle="1" w:styleId="17">
    <w:name w:val="Header Char"/>
    <w:basedOn w:val="13"/>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3"/>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3"/>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3"/>
    <w:link w:val="3"/>
    <w:qFormat/>
    <w:uiPriority w:val="9"/>
    <w:rPr>
      <w:rFonts w:ascii="Times New Roman" w:hAnsi="Times New Roman"/>
      <w:b/>
      <w:bCs/>
      <w:kern w:val="44"/>
      <w:sz w:val="44"/>
      <w:szCs w:val="44"/>
    </w:rPr>
  </w:style>
  <w:style w:type="character" w:customStyle="1" w:styleId="26">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3"/>
    <w:link w:val="7"/>
    <w:semiHidden/>
    <w:qFormat/>
    <w:uiPriority w:val="99"/>
    <w:rPr>
      <w:rFonts w:ascii="Times New Roman" w:hAnsi="Times New Roman"/>
      <w:kern w:val="2"/>
      <w:sz w:val="18"/>
      <w:szCs w:val="18"/>
    </w:rPr>
  </w:style>
  <w:style w:type="character" w:customStyle="1" w:styleId="29">
    <w:name w:val="标题 3 Char"/>
    <w:basedOn w:val="13"/>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BodyText"/>
    <w:basedOn w:val="1"/>
    <w:qFormat/>
    <w:uiPriority w:val="0"/>
    <w:pPr>
      <w:textAlignment w:val="baseline"/>
    </w:pPr>
    <w:rPr>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hart" Target="charts/chart7.xml"/><Relationship Id="rId16" Type="http://schemas.openxmlformats.org/officeDocument/2006/relationships/chart" Target="charts/chart6.xml"/><Relationship Id="rId15" Type="http://schemas.openxmlformats.org/officeDocument/2006/relationships/chart" Target="charts/chart5.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zh-CN" sz="900" b="0" i="0" u="none" strike="noStrike" kern="1200" spc="0" baseline="0">
                <a:solidFill>
                  <a:schemeClr val="tx1">
                    <a:lumMod val="65000"/>
                    <a:lumOff val="35000"/>
                  </a:schemeClr>
                </a:solidFill>
                <a:latin typeface="+mn-lt"/>
                <a:ea typeface="+mn-ea"/>
                <a:cs typeface="+mn-cs"/>
              </a:defRPr>
            </a:pPr>
            <a:r>
              <a:rPr lang="en-US" altLang="zh-CN" sz="900" baseline="0"/>
              <a:t>          </a:t>
            </a:r>
            <a:r>
              <a:rPr lang="zh-CN" sz="900" baseline="0"/>
              <a:t>收、支决算总计变动情况图</a:t>
            </a:r>
            <a:endParaRPr lang="zh-CN" sz="900" baseline="0"/>
          </a:p>
        </c:rich>
      </c:tx>
      <c:layout>
        <c:manualLayout>
          <c:xMode val="edge"/>
          <c:yMode val="edge"/>
          <c:x val="0.293307493540052"/>
          <c:y val="0.855263157894737"/>
        </c:manualLayout>
      </c:layout>
      <c:overlay val="false"/>
      <c:spPr>
        <a:noFill/>
        <a:ln>
          <a:noFill/>
        </a:ln>
        <a:effectLst/>
      </c:spPr>
    </c:title>
    <c:autoTitleDeleted val="false"/>
    <c:plotArea>
      <c:layout>
        <c:manualLayout>
          <c:layoutTarget val="inner"/>
          <c:xMode val="edge"/>
          <c:yMode val="edge"/>
          <c:x val="0.134387351778656"/>
          <c:y val="0.141630901287554"/>
          <c:w val="0.790513833992095"/>
          <c:h val="0.55793991416309"/>
        </c:manualLayout>
      </c:layout>
      <c:barChart>
        <c:barDir val="col"/>
        <c:grouping val="clustered"/>
        <c:varyColors val="false"/>
        <c:ser>
          <c:idx val="0"/>
          <c:order val="0"/>
          <c:tx>
            <c:strRef>
              <c:f>Sheet1!$A$2</c:f>
              <c:strCache>
                <c:ptCount val="1"/>
                <c:pt idx="0">
                  <c:v>收入</c:v>
                </c:pt>
              </c:strCache>
            </c:strRef>
          </c:tx>
          <c:spPr>
            <a:solidFill>
              <a:schemeClr val="accent1"/>
            </a:solidFill>
            <a:ln>
              <a:noFill/>
            </a:ln>
            <a:effectLst/>
          </c:spPr>
          <c:invertIfNegative val="false"/>
          <c:dPt>
            <c:idx val="0"/>
            <c:invertIfNegative val="false"/>
            <c:bubble3D val="false"/>
            <c:spPr>
              <a:solidFill>
                <a:schemeClr val="accent1"/>
              </a:solidFill>
              <a:ln>
                <a:noFill/>
              </a:ln>
              <a:effectLst/>
            </c:spPr>
          </c:dPt>
          <c:dPt>
            <c:idx val="1"/>
            <c:invertIfNegative val="false"/>
            <c:bubble3D val="false"/>
            <c:spPr>
              <a:solidFill>
                <a:schemeClr val="accent2"/>
              </a:solidFill>
              <a:ln>
                <a:noFill/>
              </a:ln>
              <a:effectLst/>
            </c:spPr>
          </c:dPt>
          <c:dLbls>
            <c:dLbl>
              <c:idx val="0"/>
              <c:layout>
                <c:manualLayout>
                  <c:x val="0.010470459617634"/>
                  <c:y val="0.0225337686447731"/>
                </c:manualLayout>
              </c:layout>
              <c:tx>
                <c:rich>
                  <a:bodyPr rot="0" spcFirstLastPara="1" vertOverflow="ellipsis" vert="horz" wrap="square" lIns="38100" tIns="19050" rIns="38100" bIns="19050" anchor="ctr" anchorCtr="false">
                    <a:spAutoFit/>
                  </a:bodyPr>
                  <a:lstStyle/>
                  <a:p>
                    <a:pPr marL="0" marR="0" lvl="0" indent="0" algn="ctr" defTabSz="914400" rtl="0" eaLnBrk="1" fontAlgn="auto" latinLnBrk="0" hangingPunct="1">
                      <a:lnSpc>
                        <a:spcPct val="100000"/>
                      </a:lnSpc>
                      <a:spcBef>
                        <a:spcPts val="0"/>
                      </a:spcBef>
                      <a:spcAft>
                        <a:spcPts val="0"/>
                      </a:spcAft>
                      <a:buClrTx/>
                      <a:buSzTx/>
                      <a:buFontTx/>
                      <a:buNone/>
                      <a:defRPr lang="zh-CN" sz="900" b="0" i="0" u="none" strike="noStrike" kern="1200" baseline="0">
                        <a:solidFill>
                          <a:sysClr val="windowText" lastClr="000000">
                            <a:lumMod val="75000"/>
                            <a:lumOff val="25000"/>
                          </a:sysClr>
                        </a:solidFill>
                        <a:latin typeface="+mn-lt"/>
                        <a:ea typeface="+mn-ea"/>
                        <a:cs typeface="+mn-cs"/>
                      </a:defRPr>
                    </a:pPr>
                    <a:r>
                      <a:rPr lang="en-US" altLang="zh-CN" sz="900" b="0" i="0" u="none" strike="noStrike" kern="1200" baseline="0">
                        <a:solidFill>
                          <a:sysClr val="windowText" lastClr="000000">
                            <a:lumMod val="75000"/>
                            <a:lumOff val="25000"/>
                          </a:sysClr>
                        </a:solidFill>
                      </a:rPr>
                      <a:t>1622.27</a:t>
                    </a:r>
                    <a:endParaRPr lang="en-US" altLang="zh-CN" sz="900" b="0" i="0" u="none" strike="noStrike" kern="1200" baseline="0">
                      <a:solidFill>
                        <a:sysClr val="windowText" lastClr="000000">
                          <a:lumMod val="75000"/>
                          <a:lumOff val="25000"/>
                        </a:sysClr>
                      </a:solidFill>
                    </a:endParaRPr>
                  </a:p>
                </c:rich>
              </c:tx>
              <c:numFmt formatCode="General" sourceLinked="true"/>
              <c:spPr>
                <a:noFill/>
                <a:ln>
                  <a:noFill/>
                </a:ln>
                <a:effectLst/>
              </c:spPr>
              <c:txPr>
                <a:bodyPr rot="0" spcFirstLastPara="1" vertOverflow="ellipsis" vert="horz" wrap="square" lIns="38100" tIns="19050" rIns="38100" bIns="19050" anchor="ctr" anchorCtr="false">
                  <a:spAutoFit/>
                </a:bodyPr>
                <a:lstStyle/>
                <a:p>
                  <a:pPr algn="ctr">
                    <a:defRPr lang="zh-CN" sz="900" b="0" i="0" u="none" strike="noStrike" kern="1200" baseline="0">
                      <a:solidFill>
                        <a:sysClr val="windowText" lastClr="000000">
                          <a:lumMod val="75000"/>
                          <a:lumOff val="25000"/>
                        </a:sysClr>
                      </a:solidFill>
                      <a:latin typeface="+mn-lt"/>
                      <a:ea typeface="+mn-ea"/>
                      <a:cs typeface="+mn-cs"/>
                    </a:defRPr>
                  </a:pPr>
                </a:p>
              </c:txPr>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0709621553303619"/>
                  <c:y val="0.0239519988000145"/>
                </c:manualLayout>
              </c:layout>
              <c:tx>
                <c:rich>
                  <a:bodyPr rot="0" spcFirstLastPara="1"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t>1793.67</a:t>
                    </a:r>
                    <a:endParaRPr lang="en-US"/>
                  </a:p>
                </c:rich>
              </c:tx>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cap="flat" cmpd="sng" algn="ctr">
                      <a:solidFill>
                        <a:schemeClr val="tx1">
                          <a:lumMod val="35000"/>
                          <a:lumOff val="65000"/>
                        </a:schemeClr>
                      </a:solidFill>
                      <a:round/>
                    </a:ln>
                    <a:effectLst/>
                  </c:spPr>
                </c15:leaderLines>
              </c:ext>
            </c:extLst>
          </c:dLbls>
          <c:cat>
            <c:numRef>
              <c:f>Sheet1!$B$1:$C$1</c:f>
              <c:numCache>
                <c:formatCode>General</c:formatCode>
                <c:ptCount val="2"/>
                <c:pt idx="0">
                  <c:v>2020</c:v>
                </c:pt>
                <c:pt idx="1">
                  <c:v>2021</c:v>
                </c:pt>
              </c:numCache>
            </c:numRef>
          </c:cat>
          <c:val>
            <c:numRef>
              <c:f>Sheet1!$B$2:$C$2</c:f>
              <c:numCache>
                <c:formatCode>General</c:formatCode>
                <c:ptCount val="2"/>
                <c:pt idx="0">
                  <c:v>1622.27</c:v>
                </c:pt>
                <c:pt idx="1">
                  <c:v>1793.67</c:v>
                </c:pt>
              </c:numCache>
            </c:numRef>
          </c:val>
        </c:ser>
        <c:dLbls>
          <c:showLegendKey val="false"/>
          <c:showVal val="false"/>
          <c:showCatName val="false"/>
          <c:showSerName val="false"/>
          <c:showPercent val="false"/>
          <c:showBubbleSize val="false"/>
        </c:dLbls>
        <c:gapWidth val="219"/>
        <c:overlap val="-27"/>
        <c:axId val="501814272"/>
        <c:axId val="501815392"/>
      </c:barChart>
      <c:catAx>
        <c:axId val="501814272"/>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01815392"/>
        <c:crossesAt val="1000"/>
        <c:auto val="true"/>
        <c:lblAlgn val="ctr"/>
        <c:lblOffset val="100"/>
        <c:noMultiLvlLbl val="false"/>
      </c:catAx>
      <c:valAx>
        <c:axId val="501815392"/>
        <c:scaling>
          <c:orientation val="minMax"/>
          <c:max val="2000"/>
          <c:min val="1000"/>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01814272"/>
        <c:crosses val="autoZero"/>
        <c:crossBetween val="between"/>
        <c:majorUnit val="200"/>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图</a:t>
            </a:r>
            <a:r>
              <a:rPr lang="en-US" altLang="zh-CN" sz="1400" b="0" i="0" u="none" strike="noStrike" baseline="0">
                <a:effectLst/>
              </a:rPr>
              <a:t>2</a:t>
            </a:r>
            <a:r>
              <a:rPr lang="zh-CN" altLang="zh-CN" sz="1400" b="0" i="0" u="none" strike="noStrike" baseline="0">
                <a:effectLst/>
              </a:rPr>
              <a:t>：收入决算结构图</a:t>
            </a:r>
            <a:endParaRPr lang="zh-CN" altLang="en-US"/>
          </a:p>
        </c:rich>
      </c:tx>
      <c:layout/>
      <c:overlay val="false"/>
      <c:spPr>
        <a:noFill/>
        <a:ln>
          <a:noFill/>
        </a:ln>
        <a:effectLst/>
      </c:spPr>
    </c:title>
    <c:autoTitleDeleted val="false"/>
    <c:plotArea>
      <c:layout/>
      <c:pieChart>
        <c:varyColors val="true"/>
        <c:ser>
          <c:idx val="0"/>
          <c:order val="0"/>
          <c:tx>
            <c:strRef>
              <c:f>Sheet1!$B$1</c:f>
              <c:strCache>
                <c:ptCount val="1"/>
                <c:pt idx="0">
                  <c:v>本年收入</c:v>
                </c:pt>
              </c:strCache>
            </c:strRef>
          </c:tx>
          <c:spPr/>
          <c:explosion val="0"/>
          <c:dPt>
            <c:idx val="0"/>
            <c:bubble3D val="false"/>
            <c:spPr>
              <a:solidFill>
                <a:schemeClr val="accent1"/>
              </a:solidFill>
              <a:ln w="19050">
                <a:solidFill>
                  <a:schemeClr val="lt1"/>
                </a:solidFill>
              </a:ln>
              <a:effectLst/>
            </c:spPr>
          </c:dPt>
          <c:dLbls>
            <c:dLbl>
              <c:idx val="0"/>
              <c:layout/>
              <c:tx>
                <c:rich>
                  <a:bodyPr rot="0" spcFirstLastPara="1"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sz="900" b="0" i="0" u="none" strike="noStrike" baseline="0">
                        <a:effectLst/>
                      </a:rPr>
                      <a:t>1793.67</a:t>
                    </a:r>
                    <a:endParaRPr lang="en-US" altLang="zh-CN" sz="900" b="0" i="0" u="none" strike="noStrike" baseline="0">
                      <a:effectLst/>
                    </a:endParaRPr>
                  </a:p>
                </c:rich>
              </c:tx>
              <c:dLblPos val="bestFit"/>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一般公共预算财政拨款收入</c:v>
                </c:pt>
              </c:strCache>
            </c:strRef>
          </c:cat>
          <c:val>
            <c:numRef>
              <c:f>Sheet1!$B$2</c:f>
              <c:numCache>
                <c:formatCode>General</c:formatCode>
                <c:ptCount val="1"/>
                <c:pt idx="0">
                  <c:v>1793.67</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图</a:t>
            </a:r>
            <a:r>
              <a:rPr lang="en-US" altLang="zh-CN" sz="1400" b="0" i="0" u="none" strike="noStrike" baseline="0">
                <a:effectLst/>
              </a:rPr>
              <a:t>3</a:t>
            </a:r>
            <a:r>
              <a:rPr lang="zh-CN" altLang="zh-CN" sz="1400" b="0" i="0" u="none" strike="noStrike" baseline="0">
                <a:effectLst/>
              </a:rPr>
              <a:t>：支出决算结构图</a:t>
            </a:r>
            <a:endParaRPr lang="zh-CN" altLang="en-US"/>
          </a:p>
        </c:rich>
      </c:tx>
      <c:layout>
        <c:manualLayout>
          <c:xMode val="edge"/>
          <c:yMode val="edge"/>
          <c:x val="0.300467826763109"/>
          <c:y val="0.0423529411764706"/>
        </c:manualLayout>
      </c:layout>
      <c:overlay val="false"/>
      <c:spPr>
        <a:noFill/>
        <a:ln>
          <a:noFill/>
        </a:ln>
        <a:effectLst/>
      </c:spPr>
    </c:title>
    <c:autoTitleDeleted val="false"/>
    <c:plotArea>
      <c:layout/>
      <c:pieChart>
        <c:varyColors val="true"/>
        <c:ser>
          <c:idx val="0"/>
          <c:order val="0"/>
          <c:tx>
            <c:strRef>
              <c:f>Sheet1!$B$1</c:f>
              <c:strCache>
                <c:ptCount val="1"/>
                <c:pt idx="0">
                  <c:v>销售额</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Sheet1!$A$2:$A$5</c:f>
              <c:strCache>
                <c:ptCount val="2"/>
                <c:pt idx="0">
                  <c:v>基本支出</c:v>
                </c:pt>
                <c:pt idx="1">
                  <c:v>项目支出</c:v>
                </c:pt>
              </c:strCache>
            </c:strRef>
          </c:cat>
          <c:val>
            <c:numRef>
              <c:f>Sheet1!$B$2:$B$5</c:f>
              <c:numCache>
                <c:formatCode>0.00%</c:formatCode>
                <c:ptCount val="4"/>
                <c:pt idx="0">
                  <c:v>0.7832</c:v>
                </c:pt>
                <c:pt idx="1">
                  <c:v>0.2168</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egendEntry>
        <c:idx val="2"/>
        <c:delete val="true"/>
      </c:legendEntry>
      <c:legendEntry>
        <c:idx val="3"/>
        <c:delete val="true"/>
      </c:legendEntry>
      <c:layout/>
      <c:overlay val="false"/>
      <c:spPr>
        <a:noFill/>
        <a:ln>
          <a:noFill/>
        </a:ln>
        <a:effectLst/>
      </c:spPr>
      <c:txPr>
        <a:bodyPr rot="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图</a:t>
            </a:r>
            <a:r>
              <a:rPr lang="en-US" altLang="zh-CN" sz="1400" b="0" i="0" u="none" strike="noStrike" baseline="0">
                <a:effectLst/>
              </a:rPr>
              <a:t>4</a:t>
            </a:r>
            <a:r>
              <a:rPr lang="zh-CN" altLang="zh-CN" sz="1400" b="0" i="0" u="none" strike="noStrike" baseline="0">
                <a:effectLst/>
              </a:rPr>
              <a:t>：财政拨款收、支决算总计变动情况</a:t>
            </a:r>
            <a:endParaRPr lang="zh-CN" altLang="en-US"/>
          </a:p>
        </c:rich>
      </c:tx>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2020</c:v>
                </c:pt>
              </c:strCache>
            </c:strRef>
          </c:tx>
          <c:spPr>
            <a:solidFill>
              <a:schemeClr val="accent1"/>
            </a:solidFill>
            <a:ln>
              <a:noFill/>
            </a:ln>
            <a:effectLst/>
          </c:spPr>
          <c:invertIfNegative val="false"/>
          <c:dLbls>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Sheet1!$B$2</c:f>
              <c:numCache>
                <c:formatCode>General</c:formatCode>
                <c:ptCount val="1"/>
                <c:pt idx="0">
                  <c:v>1551.66</c:v>
                </c:pt>
              </c:numCache>
            </c:numRef>
          </c:val>
        </c:ser>
        <c:ser>
          <c:idx val="1"/>
          <c:order val="1"/>
          <c:tx>
            <c:strRef>
              <c:f>Sheet1!$C$1</c:f>
              <c:strCache>
                <c:ptCount val="1"/>
                <c:pt idx="0">
                  <c:v>2021</c:v>
                </c:pt>
              </c:strCache>
            </c:strRef>
          </c:tx>
          <c:spPr>
            <a:solidFill>
              <a:schemeClr val="accent2"/>
            </a:solidFill>
            <a:ln>
              <a:noFill/>
            </a:ln>
            <a:effectLst/>
          </c:spPr>
          <c:invertIfNegative val="false"/>
          <c:dLbls>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Sheet1!$C$2</c:f>
              <c:numCache>
                <c:formatCode>General</c:formatCode>
                <c:ptCount val="1"/>
                <c:pt idx="0">
                  <c:v>1793.67</c:v>
                </c:pt>
              </c:numCache>
            </c:numRef>
          </c:val>
        </c:ser>
        <c:dLbls>
          <c:showLegendKey val="false"/>
          <c:showVal val="true"/>
          <c:showCatName val="false"/>
          <c:showSerName val="false"/>
          <c:showPercent val="false"/>
          <c:showBubbleSize val="false"/>
        </c:dLbls>
        <c:gapWidth val="219"/>
        <c:overlap val="-27"/>
        <c:axId val="436881392"/>
        <c:axId val="436881952"/>
      </c:barChart>
      <c:catAx>
        <c:axId val="436881392"/>
        <c:scaling>
          <c:orientation val="minMax"/>
        </c:scaling>
        <c:delete val="true"/>
        <c:axPos val="b"/>
        <c:numFmt formatCode="General" sourceLinked="true"/>
        <c:majorTickMark val="none"/>
        <c:minorTickMark val="none"/>
        <c:tickLblPos val="nextTo"/>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36881952"/>
        <c:crosses val="autoZero"/>
        <c:auto val="true"/>
        <c:lblAlgn val="ctr"/>
        <c:lblOffset val="100"/>
        <c:noMultiLvlLbl val="false"/>
      </c:catAx>
      <c:valAx>
        <c:axId val="436881952"/>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36881392"/>
        <c:crosses val="autoZero"/>
        <c:crossBetween val="between"/>
      </c:valAx>
      <c:spPr>
        <a:noFill/>
        <a:ln>
          <a:noFill/>
        </a:ln>
        <a:effectLst/>
      </c:spPr>
    </c:plotArea>
    <c:legend>
      <c:legendPos val="b"/>
      <c:layout/>
      <c:overlay val="false"/>
      <c:spPr>
        <a:noFill/>
        <a:ln>
          <a:noFill/>
        </a:ln>
        <a:effectLst/>
      </c:spPr>
      <c:txPr>
        <a:bodyPr rot="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图</a:t>
            </a:r>
            <a:r>
              <a:rPr lang="en-US" altLang="zh-CN" sz="1400" b="0" i="0" u="none" strike="noStrike" baseline="0">
                <a:effectLst/>
              </a:rPr>
              <a:t>5</a:t>
            </a:r>
            <a:r>
              <a:rPr lang="zh-CN" altLang="zh-CN" sz="1400" b="0" i="0" u="none" strike="noStrike" baseline="0">
                <a:effectLst/>
              </a:rPr>
              <a:t>：一般公共预算财政拨款支出决算变动情况</a:t>
            </a:r>
            <a:endParaRPr lang="zh-CN" altLang="en-US"/>
          </a:p>
        </c:rich>
      </c:tx>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2020</c:v>
                </c:pt>
              </c:strCache>
            </c:strRef>
          </c:tx>
          <c:spPr>
            <a:solidFill>
              <a:schemeClr val="accent1"/>
            </a:solidFill>
            <a:ln>
              <a:noFill/>
            </a:ln>
            <a:effectLst/>
          </c:spPr>
          <c:invertIfNegative val="false"/>
          <c:dLbls>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Sheet1!$B$2</c:f>
              <c:numCache>
                <c:formatCode>General</c:formatCode>
                <c:ptCount val="1"/>
                <c:pt idx="0">
                  <c:v>1473.71</c:v>
                </c:pt>
              </c:numCache>
            </c:numRef>
          </c:val>
        </c:ser>
        <c:ser>
          <c:idx val="1"/>
          <c:order val="1"/>
          <c:tx>
            <c:strRef>
              <c:f>Sheet1!$C$1</c:f>
              <c:strCache>
                <c:ptCount val="1"/>
                <c:pt idx="0">
                  <c:v>2021</c:v>
                </c:pt>
              </c:strCache>
            </c:strRef>
          </c:tx>
          <c:spPr>
            <a:solidFill>
              <a:schemeClr val="accent2"/>
            </a:solidFill>
            <a:ln>
              <a:noFill/>
            </a:ln>
            <a:effectLst/>
          </c:spPr>
          <c:invertIfNegative val="false"/>
          <c:dLbls>
            <c:dLbl>
              <c:idx val="0"/>
              <c:layout/>
              <c:tx>
                <c:rich>
                  <a:bodyPr rot="0" spcFirstLastPara="1"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1787.88</a:t>
                    </a:r>
                    <a:endParaRPr lang="en-US" altLang="zh-CN"/>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Sheet1!$C$2</c:f>
              <c:numCache>
                <c:formatCode>General</c:formatCode>
                <c:ptCount val="1"/>
                <c:pt idx="0">
                  <c:v>1787.88</c:v>
                </c:pt>
              </c:numCache>
            </c:numRef>
          </c:val>
        </c:ser>
        <c:dLbls>
          <c:showLegendKey val="false"/>
          <c:showVal val="true"/>
          <c:showCatName val="false"/>
          <c:showSerName val="false"/>
          <c:showPercent val="false"/>
          <c:showBubbleSize val="false"/>
        </c:dLbls>
        <c:gapWidth val="219"/>
        <c:overlap val="-27"/>
        <c:axId val="433909984"/>
        <c:axId val="433910544"/>
      </c:barChart>
      <c:catAx>
        <c:axId val="433909984"/>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33910544"/>
        <c:crosses val="autoZero"/>
        <c:auto val="true"/>
        <c:lblAlgn val="ctr"/>
        <c:lblOffset val="100"/>
        <c:noMultiLvlLbl val="false"/>
      </c:catAx>
      <c:valAx>
        <c:axId val="433910544"/>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33909984"/>
        <c:crosses val="autoZero"/>
        <c:crossBetween val="between"/>
      </c:valAx>
      <c:spPr>
        <a:noFill/>
        <a:ln>
          <a:noFill/>
        </a:ln>
        <a:effectLst/>
      </c:spPr>
    </c:plotArea>
    <c:legend>
      <c:legendPos val="b"/>
      <c:layout/>
      <c:overlay val="false"/>
      <c:spPr>
        <a:noFill/>
        <a:ln>
          <a:noFill/>
        </a:ln>
        <a:effectLst/>
      </c:spPr>
      <c:txPr>
        <a:bodyPr rot="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图</a:t>
            </a:r>
            <a:r>
              <a:rPr lang="en-US" altLang="zh-CN" sz="1400" b="0" i="0" u="none" strike="noStrike" baseline="0">
                <a:effectLst/>
              </a:rPr>
              <a:t>6</a:t>
            </a:r>
            <a:r>
              <a:rPr lang="zh-CN" altLang="zh-CN" sz="1400" b="0" i="0" u="none" strike="noStrike" baseline="0">
                <a:effectLst/>
              </a:rPr>
              <a:t>：一般公共预算财政拨款支出决算结构</a:t>
            </a:r>
            <a:endParaRPr lang="zh-CN" altLang="en-US"/>
          </a:p>
        </c:rich>
      </c:tx>
      <c:layout/>
      <c:overlay val="false"/>
      <c:spPr>
        <a:noFill/>
        <a:ln>
          <a:noFill/>
        </a:ln>
        <a:effectLst/>
      </c:spPr>
    </c:title>
    <c:autoTitleDeleted val="false"/>
    <c:plotArea>
      <c:layout/>
      <c:pieChart>
        <c:varyColors val="true"/>
        <c:ser>
          <c:idx val="0"/>
          <c:order val="0"/>
          <c:tx>
            <c:strRef>
              <c:f>Sheet1!$B$1</c:f>
              <c:strCache>
                <c:ptCount val="1"/>
                <c:pt idx="0">
                  <c:v>销售额</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一般公共服务（类）</c:v>
                </c:pt>
                <c:pt idx="1">
                  <c:v>社会保障和就业（类）</c:v>
                </c:pt>
                <c:pt idx="2">
                  <c:v>卫生健康支出</c:v>
                </c:pt>
                <c:pt idx="3">
                  <c:v>住房保障</c:v>
                </c:pt>
              </c:strCache>
            </c:strRef>
          </c:cat>
          <c:val>
            <c:numRef>
              <c:f>Sheet1!$B$2:$B$5</c:f>
              <c:numCache>
                <c:formatCode>General</c:formatCode>
                <c:ptCount val="4"/>
                <c:pt idx="0">
                  <c:v>78.79</c:v>
                </c:pt>
                <c:pt idx="1">
                  <c:v>14.73</c:v>
                </c:pt>
                <c:pt idx="2">
                  <c:v>2.95</c:v>
                </c:pt>
                <c:pt idx="3">
                  <c:v>3.53</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图</a:t>
            </a:r>
            <a:r>
              <a:rPr lang="en-US" altLang="zh-CN" sz="1400" b="0" i="0" u="none" strike="noStrike" baseline="0">
                <a:effectLst/>
              </a:rPr>
              <a:t>7</a:t>
            </a:r>
            <a:r>
              <a:rPr lang="zh-CN" altLang="zh-CN" sz="1400" b="0" i="0" u="none" strike="noStrike" baseline="0">
                <a:effectLst/>
              </a:rPr>
              <a:t>：“三公”经费财政拨款支出结构</a:t>
            </a:r>
            <a:endParaRPr lang="zh-CN" altLang="en-US"/>
          </a:p>
        </c:rich>
      </c:tx>
      <c:layout>
        <c:manualLayout>
          <c:xMode val="edge"/>
          <c:yMode val="edge"/>
          <c:x val="0.236467518974046"/>
          <c:y val="0.0495356037151703"/>
        </c:manualLayout>
      </c:layout>
      <c:overlay val="false"/>
      <c:spPr>
        <a:noFill/>
        <a:ln>
          <a:noFill/>
        </a:ln>
        <a:effectLst/>
      </c:spPr>
    </c:title>
    <c:autoTitleDeleted val="false"/>
    <c:plotArea>
      <c:layout/>
      <c:pieChart>
        <c:varyColors val="true"/>
        <c:ser>
          <c:idx val="0"/>
          <c:order val="0"/>
          <c:tx>
            <c:strRef>
              <c:f>Sheet1!$B$1</c:f>
              <c:strCache>
                <c:ptCount val="1"/>
                <c:pt idx="0">
                  <c:v>销售额</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公务用车购置及运行维护费</c:v>
                </c:pt>
                <c:pt idx="1">
                  <c:v>公务接待费</c:v>
                </c:pt>
              </c:strCache>
            </c:strRef>
          </c:cat>
          <c:val>
            <c:numRef>
              <c:f>Sheet1!$B$2:$B$3</c:f>
              <c:numCache>
                <c:formatCode>General</c:formatCode>
                <c:ptCount val="2"/>
                <c:pt idx="0">
                  <c:v>38.91</c:v>
                </c:pt>
                <c:pt idx="1">
                  <c:v>61.09</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Pages>
  <Words>1440</Words>
  <Characters>8213</Characters>
  <Lines>1</Lines>
  <Paragraphs>1</Paragraphs>
  <TotalTime>3</TotalTime>
  <ScaleCrop>false</ScaleCrop>
  <LinksUpToDate>false</LinksUpToDate>
  <CharactersWithSpaces>9634</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2022-08-25T14:49:00Z</dcterms:created>
  <dc:creator>曹颖</dc:creator>
  <cp:lastModifiedBy>user</cp:lastModifiedBy>
  <cp:lastPrinted>2021-08-31T16:53:00Z</cp:lastPrinted>
  <dcterms:modified xsi:type="dcterms:W3CDTF">2022-11-11T19:54:49Z</dcterms:modified>
  <dc:title>四川省***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9958435C420D4F27A2C3D8879244AA5C</vt:lpwstr>
  </property>
  <property fmtid="{D5CDD505-2E9C-101B-9397-08002B2CF9AE}" pid="4" name="KSOSaveFontToCloudKey">
    <vt:lpwstr>0_btnclosed</vt:lpwstr>
  </property>
</Properties>
</file>