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bookmarkStart w:id="110" w:name="_GoBack"/>
      <w:bookmarkEnd w:id="110"/>
    </w:p>
    <w:p>
      <w:pPr>
        <w:adjustRightInd w:val="0"/>
        <w:snapToGrid w:val="0"/>
        <w:spacing w:line="360" w:lineRule="auto"/>
        <w:jc w:val="center"/>
        <w:outlineLvl w:val="0"/>
        <w:rPr>
          <w:rFonts w:hint="eastAsia" w:ascii="方正公文小标宋" w:hAnsi="方正公文小标宋" w:eastAsia="方正公文小标宋" w:cs="方正公文小标宋"/>
          <w:color w:val="auto"/>
          <w:sz w:val="72"/>
          <w:szCs w:val="72"/>
          <w:highlight w:val="none"/>
        </w:rPr>
      </w:pPr>
      <w:bookmarkStart w:id="1" w:name="_Toc15396475"/>
      <w:bookmarkStart w:id="2" w:name="_Toc15377425"/>
      <w:bookmarkStart w:id="3" w:name="_Toc15378441"/>
      <w:bookmarkStart w:id="4" w:name="_Toc15396597"/>
      <w:bookmarkStart w:id="5" w:name="_Toc15377193"/>
      <w:bookmarkStart w:id="6" w:name="_Toc30233"/>
      <w:bookmarkStart w:id="7" w:name="_Toc31745"/>
      <w:bookmarkStart w:id="8" w:name="_Toc31672"/>
      <w:r>
        <w:rPr>
          <w:rFonts w:hint="eastAsia" w:ascii="方正公文小标宋" w:hAnsi="方正公文小标宋" w:eastAsia="方正公文小标宋" w:cs="方正公文小标宋"/>
          <w:color w:val="auto"/>
          <w:sz w:val="72"/>
          <w:szCs w:val="72"/>
          <w:highlight w:val="none"/>
        </w:rPr>
        <w:t>20</w:t>
      </w:r>
      <w:r>
        <w:rPr>
          <w:rFonts w:hint="eastAsia" w:ascii="方正公文小标宋" w:hAnsi="方正公文小标宋" w:eastAsia="方正公文小标宋" w:cs="方正公文小标宋"/>
          <w:color w:val="auto"/>
          <w:sz w:val="72"/>
          <w:szCs w:val="72"/>
          <w:highlight w:val="none"/>
          <w:lang w:val="en-US" w:eastAsia="zh-CN"/>
        </w:rPr>
        <w:t>21</w:t>
      </w:r>
      <w:r>
        <w:rPr>
          <w:rFonts w:hint="eastAsia" w:ascii="方正公文小标宋" w:hAnsi="方正公文小标宋" w:eastAsia="方正公文小标宋" w:cs="方正公文小标宋"/>
          <w:color w:val="auto"/>
          <w:sz w:val="72"/>
          <w:szCs w:val="72"/>
          <w:highlight w:val="none"/>
        </w:rPr>
        <w:t>年度</w:t>
      </w:r>
      <w:bookmarkEnd w:id="1"/>
      <w:bookmarkEnd w:id="2"/>
      <w:bookmarkEnd w:id="3"/>
      <w:bookmarkEnd w:id="4"/>
      <w:bookmarkEnd w:id="5"/>
      <w:bookmarkEnd w:id="6"/>
      <w:bookmarkEnd w:id="7"/>
      <w:bookmarkEnd w:id="8"/>
    </w:p>
    <w:p>
      <w:pPr>
        <w:adjustRightInd w:val="0"/>
        <w:snapToGrid w:val="0"/>
        <w:spacing w:line="360" w:lineRule="auto"/>
        <w:jc w:val="center"/>
        <w:outlineLvl w:val="0"/>
        <w:rPr>
          <w:rFonts w:hint="eastAsia" w:ascii="方正公文小标宋" w:hAnsi="方正公文小标宋" w:eastAsia="方正公文小标宋" w:cs="方正公文小标宋"/>
          <w:color w:val="auto"/>
          <w:sz w:val="72"/>
          <w:szCs w:val="72"/>
          <w:highlight w:val="none"/>
          <w:lang w:val="en-US" w:eastAsia="zh-CN"/>
        </w:rPr>
      </w:pPr>
      <w:bookmarkStart w:id="9" w:name="_Toc15377194"/>
      <w:bookmarkStart w:id="10" w:name="_Toc16474"/>
      <w:bookmarkStart w:id="11" w:name="_Toc15377426"/>
      <w:bookmarkStart w:id="12" w:name="_Toc15378442"/>
      <w:bookmarkStart w:id="13" w:name="_Toc15396476"/>
      <w:bookmarkStart w:id="14" w:name="_Toc15396598"/>
      <w:bookmarkStart w:id="15" w:name="_Toc2430"/>
      <w:bookmarkStart w:id="16" w:name="_Toc392"/>
      <w:r>
        <w:rPr>
          <w:rFonts w:hint="eastAsia" w:ascii="方正公文小标宋" w:hAnsi="方正公文小标宋" w:eastAsia="方正公文小标宋" w:cs="方正公文小标宋"/>
          <w:color w:val="auto"/>
          <w:sz w:val="72"/>
          <w:szCs w:val="72"/>
          <w:highlight w:val="none"/>
        </w:rPr>
        <w:t>四川省</w:t>
      </w:r>
      <w:bookmarkEnd w:id="0"/>
      <w:bookmarkStart w:id="17" w:name="_Toc15306268"/>
      <w:r>
        <w:rPr>
          <w:rFonts w:hint="eastAsia" w:ascii="方正公文小标宋" w:hAnsi="方正公文小标宋" w:eastAsia="方正公文小标宋" w:cs="方正公文小标宋"/>
          <w:color w:val="auto"/>
          <w:sz w:val="72"/>
          <w:szCs w:val="72"/>
          <w:highlight w:val="none"/>
          <w:lang w:val="en-US" w:eastAsia="zh-CN"/>
        </w:rPr>
        <w:t>人民政府驻厦门办事处单位</w:t>
      </w:r>
      <w:r>
        <w:rPr>
          <w:rFonts w:hint="eastAsia" w:ascii="方正公文小标宋" w:hAnsi="方正公文小标宋" w:eastAsia="方正公文小标宋" w:cs="方正公文小标宋"/>
          <w:color w:val="auto"/>
          <w:sz w:val="72"/>
          <w:szCs w:val="72"/>
          <w:highlight w:val="none"/>
        </w:rPr>
        <w:t>决算</w:t>
      </w:r>
      <w:bookmarkEnd w:id="9"/>
      <w:bookmarkEnd w:id="10"/>
      <w:bookmarkEnd w:id="11"/>
      <w:bookmarkEnd w:id="12"/>
      <w:bookmarkEnd w:id="13"/>
      <w:bookmarkEnd w:id="14"/>
      <w:bookmarkEnd w:id="15"/>
      <w:bookmarkEnd w:id="16"/>
      <w:bookmarkEnd w:id="17"/>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4"/>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sdt>
      <w:sdtPr>
        <w:rPr>
          <w:rFonts w:ascii="宋体" w:hAnsi="宋体" w:eastAsia="宋体" w:cs="Times New Roman"/>
          <w:kern w:val="2"/>
          <w:sz w:val="21"/>
          <w:szCs w:val="24"/>
          <w:lang w:val="en-US" w:eastAsia="zh-CN" w:bidi="ar-SA"/>
        </w:rPr>
        <w:id w:val="147479784"/>
        <w15:color w:val="DBDBDB"/>
        <w:docPartObj>
          <w:docPartGallery w:val="Table of Contents"/>
          <w:docPartUnique/>
        </w:docPartObj>
      </w:sdtPr>
      <w:sdtEndPr>
        <w:rPr>
          <w:b/>
        </w:rPr>
      </w:sdtEndPr>
      <w:sdtContent>
        <w:p>
          <w:bookmarkStart w:id="18" w:name="_Toc15377196"/>
          <w:bookmarkStart w:id="19" w:name="_Toc15396599"/>
          <w:r>
            <w:fldChar w:fldCharType="begin"/>
          </w:r>
          <w:r>
            <w:instrText xml:space="preserve">TOC \o "1-2" \h \u </w:instrText>
          </w:r>
          <w:r>
            <w:fldChar w:fldCharType="separate"/>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_Toc17669 </w:instrText>
          </w:r>
          <w:r>
            <w:rPr>
              <w:rFonts w:hint="eastAsia"/>
              <w:sz w:val="28"/>
              <w:szCs w:val="36"/>
            </w:rPr>
            <w:fldChar w:fldCharType="separate"/>
          </w:r>
          <w:r>
            <w:rPr>
              <w:rFonts w:hint="eastAsia"/>
              <w:sz w:val="28"/>
              <w:szCs w:val="36"/>
            </w:rPr>
            <w:t xml:space="preserve">第一部分 </w:t>
          </w:r>
          <w:r>
            <w:rPr>
              <w:rFonts w:hint="eastAsia"/>
              <w:sz w:val="28"/>
              <w:szCs w:val="36"/>
              <w:lang w:eastAsia="zh-CN"/>
            </w:rPr>
            <w:t>单位</w:t>
          </w:r>
          <w:r>
            <w:rPr>
              <w:rFonts w:hint="eastAsia"/>
              <w:sz w:val="28"/>
              <w:szCs w:val="36"/>
            </w:rPr>
            <w:t>概况</w:t>
          </w:r>
          <w:r>
            <w:rPr>
              <w:rFonts w:hint="eastAsia"/>
              <w:sz w:val="28"/>
              <w:szCs w:val="36"/>
            </w:rPr>
            <w:tab/>
          </w:r>
          <w:r>
            <w:rPr>
              <w:rFonts w:hint="eastAsia"/>
              <w:sz w:val="28"/>
              <w:szCs w:val="36"/>
            </w:rPr>
            <w:fldChar w:fldCharType="begin"/>
          </w:r>
          <w:r>
            <w:rPr>
              <w:rFonts w:hint="eastAsia"/>
              <w:sz w:val="28"/>
              <w:szCs w:val="36"/>
            </w:rPr>
            <w:instrText xml:space="preserve"> PAGEREF _Toc17669 \h </w:instrText>
          </w:r>
          <w:r>
            <w:rPr>
              <w:rFonts w:hint="eastAsia"/>
              <w:sz w:val="28"/>
              <w:szCs w:val="36"/>
            </w:rPr>
            <w:fldChar w:fldCharType="separate"/>
          </w:r>
          <w:r>
            <w:rPr>
              <w:rFonts w:hint="eastAsia"/>
              <w:sz w:val="28"/>
              <w:szCs w:val="36"/>
            </w:rPr>
            <w:t>- 1 -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_Toc17266 </w:instrText>
          </w:r>
          <w:r>
            <w:rPr>
              <w:rFonts w:hint="eastAsia"/>
              <w:sz w:val="28"/>
              <w:szCs w:val="36"/>
            </w:rPr>
            <w:fldChar w:fldCharType="separate"/>
          </w:r>
          <w:r>
            <w:rPr>
              <w:rFonts w:hint="eastAsia"/>
              <w:sz w:val="28"/>
              <w:szCs w:val="36"/>
              <w:lang w:eastAsia="zh-CN"/>
            </w:rPr>
            <w:t xml:space="preserve">一、 </w:t>
          </w:r>
          <w:r>
            <w:rPr>
              <w:rFonts w:hint="eastAsia"/>
              <w:sz w:val="28"/>
              <w:szCs w:val="36"/>
            </w:rPr>
            <w:t>职能</w:t>
          </w:r>
          <w:r>
            <w:rPr>
              <w:rFonts w:hint="eastAsia"/>
              <w:sz w:val="28"/>
              <w:szCs w:val="36"/>
              <w:lang w:eastAsia="zh-CN"/>
            </w:rPr>
            <w:t>简介</w:t>
          </w:r>
          <w:r>
            <w:rPr>
              <w:rFonts w:hint="eastAsia"/>
              <w:sz w:val="28"/>
              <w:szCs w:val="36"/>
            </w:rPr>
            <w:tab/>
          </w:r>
          <w:r>
            <w:rPr>
              <w:rFonts w:hint="eastAsia"/>
              <w:sz w:val="28"/>
              <w:szCs w:val="36"/>
            </w:rPr>
            <w:fldChar w:fldCharType="begin"/>
          </w:r>
          <w:r>
            <w:rPr>
              <w:rFonts w:hint="eastAsia"/>
              <w:sz w:val="28"/>
              <w:szCs w:val="36"/>
            </w:rPr>
            <w:instrText xml:space="preserve"> PAGEREF _Toc17266 \h </w:instrText>
          </w:r>
          <w:r>
            <w:rPr>
              <w:rFonts w:hint="eastAsia"/>
              <w:sz w:val="28"/>
              <w:szCs w:val="36"/>
            </w:rPr>
            <w:fldChar w:fldCharType="separate"/>
          </w:r>
          <w:r>
            <w:rPr>
              <w:rFonts w:hint="eastAsia"/>
              <w:sz w:val="28"/>
              <w:szCs w:val="36"/>
            </w:rPr>
            <w:t>- 1 -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_Toc22124 </w:instrText>
          </w:r>
          <w:r>
            <w:rPr>
              <w:rFonts w:hint="eastAsia"/>
              <w:sz w:val="28"/>
              <w:szCs w:val="36"/>
            </w:rPr>
            <w:fldChar w:fldCharType="separate"/>
          </w:r>
          <w:r>
            <w:rPr>
              <w:rFonts w:hint="eastAsia"/>
              <w:sz w:val="28"/>
              <w:szCs w:val="36"/>
              <w:lang w:val="en-US" w:eastAsia="zh-CN"/>
            </w:rPr>
            <w:t>二、2021年重点</w:t>
          </w:r>
          <w:r>
            <w:rPr>
              <w:rFonts w:hint="eastAsia"/>
              <w:sz w:val="28"/>
              <w:szCs w:val="36"/>
            </w:rPr>
            <w:t>工作</w:t>
          </w:r>
          <w:r>
            <w:rPr>
              <w:rFonts w:hint="eastAsia"/>
              <w:sz w:val="28"/>
              <w:szCs w:val="36"/>
              <w:lang w:eastAsia="zh-CN"/>
            </w:rPr>
            <w:t>完成情况</w:t>
          </w:r>
          <w:r>
            <w:rPr>
              <w:rFonts w:hint="eastAsia"/>
              <w:sz w:val="28"/>
              <w:szCs w:val="36"/>
            </w:rPr>
            <w:tab/>
          </w:r>
          <w:r>
            <w:rPr>
              <w:rFonts w:hint="eastAsia"/>
              <w:sz w:val="28"/>
              <w:szCs w:val="36"/>
            </w:rPr>
            <w:fldChar w:fldCharType="begin"/>
          </w:r>
          <w:r>
            <w:rPr>
              <w:rFonts w:hint="eastAsia"/>
              <w:sz w:val="28"/>
              <w:szCs w:val="36"/>
            </w:rPr>
            <w:instrText xml:space="preserve"> PAGEREF _Toc22124 \h </w:instrText>
          </w:r>
          <w:r>
            <w:rPr>
              <w:rFonts w:hint="eastAsia"/>
              <w:sz w:val="28"/>
              <w:szCs w:val="36"/>
            </w:rPr>
            <w:fldChar w:fldCharType="separate"/>
          </w:r>
          <w:r>
            <w:rPr>
              <w:rFonts w:hint="eastAsia"/>
              <w:sz w:val="28"/>
              <w:szCs w:val="36"/>
            </w:rPr>
            <w:t>- 1 -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_Toc30704 </w:instrText>
          </w:r>
          <w:r>
            <w:rPr>
              <w:rFonts w:hint="eastAsia"/>
              <w:sz w:val="28"/>
              <w:szCs w:val="36"/>
            </w:rPr>
            <w:fldChar w:fldCharType="separate"/>
          </w:r>
          <w:r>
            <w:rPr>
              <w:rFonts w:hint="eastAsia"/>
              <w:sz w:val="28"/>
              <w:szCs w:val="36"/>
              <w:lang w:val="en-US" w:eastAsia="zh-CN"/>
            </w:rPr>
            <w:t>三、机构设置</w:t>
          </w:r>
          <w:r>
            <w:rPr>
              <w:rFonts w:hint="eastAsia"/>
              <w:sz w:val="28"/>
              <w:szCs w:val="36"/>
            </w:rPr>
            <w:tab/>
          </w:r>
          <w:r>
            <w:rPr>
              <w:rFonts w:hint="eastAsia"/>
              <w:sz w:val="28"/>
              <w:szCs w:val="36"/>
            </w:rPr>
            <w:fldChar w:fldCharType="begin"/>
          </w:r>
          <w:r>
            <w:rPr>
              <w:rFonts w:hint="eastAsia"/>
              <w:sz w:val="28"/>
              <w:szCs w:val="36"/>
            </w:rPr>
            <w:instrText xml:space="preserve"> PAGEREF _Toc30704 \h </w:instrText>
          </w:r>
          <w:r>
            <w:rPr>
              <w:rFonts w:hint="eastAsia"/>
              <w:sz w:val="28"/>
              <w:szCs w:val="36"/>
            </w:rPr>
            <w:fldChar w:fldCharType="separate"/>
          </w:r>
          <w:r>
            <w:rPr>
              <w:rFonts w:hint="eastAsia"/>
              <w:sz w:val="28"/>
              <w:szCs w:val="36"/>
            </w:rPr>
            <w:t>- 4 -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_Toc13440 </w:instrText>
          </w:r>
          <w:r>
            <w:rPr>
              <w:rFonts w:hint="eastAsia"/>
              <w:sz w:val="28"/>
              <w:szCs w:val="36"/>
            </w:rPr>
            <w:fldChar w:fldCharType="separate"/>
          </w:r>
          <w:r>
            <w:rPr>
              <w:rFonts w:hint="eastAsia"/>
              <w:sz w:val="28"/>
              <w:szCs w:val="36"/>
            </w:rPr>
            <w:t xml:space="preserve">第二部分 </w:t>
          </w:r>
          <w:r>
            <w:rPr>
              <w:rFonts w:hint="eastAsia"/>
              <w:sz w:val="28"/>
              <w:szCs w:val="36"/>
              <w:lang w:val="en-US" w:eastAsia="zh-CN"/>
            </w:rPr>
            <w:t>2021年度</w:t>
          </w:r>
          <w:r>
            <w:rPr>
              <w:rFonts w:hint="eastAsia"/>
              <w:sz w:val="28"/>
              <w:szCs w:val="36"/>
              <w:lang w:eastAsia="zh-CN"/>
            </w:rPr>
            <w:t>单位</w:t>
          </w:r>
          <w:r>
            <w:rPr>
              <w:rFonts w:hint="eastAsia"/>
              <w:sz w:val="28"/>
              <w:szCs w:val="36"/>
            </w:rPr>
            <w:t>决算情况说明</w:t>
          </w:r>
          <w:r>
            <w:rPr>
              <w:rFonts w:hint="eastAsia"/>
              <w:sz w:val="28"/>
              <w:szCs w:val="36"/>
            </w:rPr>
            <w:tab/>
          </w:r>
          <w:r>
            <w:rPr>
              <w:rFonts w:hint="eastAsia"/>
              <w:sz w:val="28"/>
              <w:szCs w:val="36"/>
            </w:rPr>
            <w:fldChar w:fldCharType="begin"/>
          </w:r>
          <w:r>
            <w:rPr>
              <w:rFonts w:hint="eastAsia"/>
              <w:sz w:val="28"/>
              <w:szCs w:val="36"/>
            </w:rPr>
            <w:instrText xml:space="preserve"> PAGEREF _Toc13440 \h </w:instrText>
          </w:r>
          <w:r>
            <w:rPr>
              <w:rFonts w:hint="eastAsia"/>
              <w:sz w:val="28"/>
              <w:szCs w:val="36"/>
            </w:rPr>
            <w:fldChar w:fldCharType="separate"/>
          </w:r>
          <w:r>
            <w:rPr>
              <w:rFonts w:hint="eastAsia"/>
              <w:sz w:val="28"/>
              <w:szCs w:val="36"/>
            </w:rPr>
            <w:t>- 6 -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_Toc18987 </w:instrText>
          </w:r>
          <w:r>
            <w:rPr>
              <w:rFonts w:hint="eastAsia"/>
              <w:sz w:val="28"/>
              <w:szCs w:val="36"/>
            </w:rPr>
            <w:fldChar w:fldCharType="separate"/>
          </w:r>
          <w:r>
            <w:rPr>
              <w:rFonts w:hint="eastAsia"/>
              <w:sz w:val="28"/>
              <w:szCs w:val="36"/>
            </w:rPr>
            <w:t>一、 收入支出决算总体情况说明</w:t>
          </w:r>
          <w:r>
            <w:rPr>
              <w:rFonts w:hint="eastAsia"/>
              <w:sz w:val="28"/>
              <w:szCs w:val="36"/>
            </w:rPr>
            <w:tab/>
          </w:r>
          <w:r>
            <w:rPr>
              <w:rFonts w:hint="eastAsia"/>
              <w:sz w:val="28"/>
              <w:szCs w:val="36"/>
            </w:rPr>
            <w:fldChar w:fldCharType="begin"/>
          </w:r>
          <w:r>
            <w:rPr>
              <w:rFonts w:hint="eastAsia"/>
              <w:sz w:val="28"/>
              <w:szCs w:val="36"/>
            </w:rPr>
            <w:instrText xml:space="preserve"> PAGEREF _Toc18987 \h </w:instrText>
          </w:r>
          <w:r>
            <w:rPr>
              <w:rFonts w:hint="eastAsia"/>
              <w:sz w:val="28"/>
              <w:szCs w:val="36"/>
            </w:rPr>
            <w:fldChar w:fldCharType="separate"/>
          </w:r>
          <w:r>
            <w:rPr>
              <w:rFonts w:hint="eastAsia"/>
              <w:sz w:val="28"/>
              <w:szCs w:val="36"/>
            </w:rPr>
            <w:t>- 6 -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_Toc23301 </w:instrText>
          </w:r>
          <w:r>
            <w:rPr>
              <w:rFonts w:hint="eastAsia"/>
              <w:sz w:val="28"/>
              <w:szCs w:val="36"/>
            </w:rPr>
            <w:fldChar w:fldCharType="separate"/>
          </w:r>
          <w:r>
            <w:rPr>
              <w:rFonts w:hint="eastAsia"/>
              <w:sz w:val="28"/>
              <w:szCs w:val="36"/>
            </w:rPr>
            <w:t>二、 收入决算情况说明</w:t>
          </w:r>
          <w:r>
            <w:rPr>
              <w:rFonts w:hint="eastAsia"/>
              <w:sz w:val="28"/>
              <w:szCs w:val="36"/>
            </w:rPr>
            <w:tab/>
          </w:r>
          <w:r>
            <w:rPr>
              <w:rFonts w:hint="eastAsia"/>
              <w:sz w:val="28"/>
              <w:szCs w:val="36"/>
            </w:rPr>
            <w:fldChar w:fldCharType="begin"/>
          </w:r>
          <w:r>
            <w:rPr>
              <w:rFonts w:hint="eastAsia"/>
              <w:sz w:val="28"/>
              <w:szCs w:val="36"/>
            </w:rPr>
            <w:instrText xml:space="preserve"> PAGEREF _Toc23301 \h </w:instrText>
          </w:r>
          <w:r>
            <w:rPr>
              <w:rFonts w:hint="eastAsia"/>
              <w:sz w:val="28"/>
              <w:szCs w:val="36"/>
            </w:rPr>
            <w:fldChar w:fldCharType="separate"/>
          </w:r>
          <w:r>
            <w:rPr>
              <w:rFonts w:hint="eastAsia"/>
              <w:sz w:val="28"/>
              <w:szCs w:val="36"/>
            </w:rPr>
            <w:t>- 6 -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_Toc22294 </w:instrText>
          </w:r>
          <w:r>
            <w:rPr>
              <w:rFonts w:hint="eastAsia"/>
              <w:sz w:val="28"/>
              <w:szCs w:val="36"/>
            </w:rPr>
            <w:fldChar w:fldCharType="separate"/>
          </w:r>
          <w:r>
            <w:rPr>
              <w:rFonts w:hint="eastAsia"/>
              <w:sz w:val="28"/>
              <w:szCs w:val="36"/>
            </w:rPr>
            <w:t>三、 支出决算情况说明</w:t>
          </w:r>
          <w:r>
            <w:rPr>
              <w:rFonts w:hint="eastAsia"/>
              <w:sz w:val="28"/>
              <w:szCs w:val="36"/>
            </w:rPr>
            <w:tab/>
          </w:r>
          <w:r>
            <w:rPr>
              <w:rFonts w:hint="eastAsia"/>
              <w:sz w:val="28"/>
              <w:szCs w:val="36"/>
            </w:rPr>
            <w:fldChar w:fldCharType="begin"/>
          </w:r>
          <w:r>
            <w:rPr>
              <w:rFonts w:hint="eastAsia"/>
              <w:sz w:val="28"/>
              <w:szCs w:val="36"/>
            </w:rPr>
            <w:instrText xml:space="preserve"> PAGEREF _Toc22294 \h </w:instrText>
          </w:r>
          <w:r>
            <w:rPr>
              <w:rFonts w:hint="eastAsia"/>
              <w:sz w:val="28"/>
              <w:szCs w:val="36"/>
            </w:rPr>
            <w:fldChar w:fldCharType="separate"/>
          </w:r>
          <w:r>
            <w:rPr>
              <w:rFonts w:hint="eastAsia"/>
              <w:sz w:val="28"/>
              <w:szCs w:val="36"/>
            </w:rPr>
            <w:t>- 7 -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_Toc10871 </w:instrText>
          </w:r>
          <w:r>
            <w:rPr>
              <w:rFonts w:hint="eastAsia"/>
              <w:sz w:val="28"/>
              <w:szCs w:val="36"/>
            </w:rPr>
            <w:fldChar w:fldCharType="separate"/>
          </w:r>
          <w:r>
            <w:rPr>
              <w:rFonts w:hint="eastAsia"/>
              <w:sz w:val="28"/>
              <w:szCs w:val="36"/>
            </w:rPr>
            <w:t>四、财政拨款收入支出决算总体情况说明</w:t>
          </w:r>
          <w:r>
            <w:rPr>
              <w:rFonts w:hint="eastAsia"/>
              <w:sz w:val="28"/>
              <w:szCs w:val="36"/>
            </w:rPr>
            <w:tab/>
          </w:r>
          <w:r>
            <w:rPr>
              <w:rFonts w:hint="eastAsia"/>
              <w:sz w:val="28"/>
              <w:szCs w:val="36"/>
            </w:rPr>
            <w:fldChar w:fldCharType="begin"/>
          </w:r>
          <w:r>
            <w:rPr>
              <w:rFonts w:hint="eastAsia"/>
              <w:sz w:val="28"/>
              <w:szCs w:val="36"/>
            </w:rPr>
            <w:instrText xml:space="preserve"> PAGEREF _Toc10871 \h </w:instrText>
          </w:r>
          <w:r>
            <w:rPr>
              <w:rFonts w:hint="eastAsia"/>
              <w:sz w:val="28"/>
              <w:szCs w:val="36"/>
            </w:rPr>
            <w:fldChar w:fldCharType="separate"/>
          </w:r>
          <w:r>
            <w:rPr>
              <w:rFonts w:hint="eastAsia"/>
              <w:sz w:val="28"/>
              <w:szCs w:val="36"/>
            </w:rPr>
            <w:t>- 7 -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_Toc8004 </w:instrText>
          </w:r>
          <w:r>
            <w:rPr>
              <w:rFonts w:hint="eastAsia"/>
              <w:sz w:val="28"/>
              <w:szCs w:val="36"/>
            </w:rPr>
            <w:fldChar w:fldCharType="separate"/>
          </w:r>
          <w:r>
            <w:rPr>
              <w:rFonts w:hint="eastAsia"/>
              <w:sz w:val="28"/>
              <w:szCs w:val="36"/>
            </w:rPr>
            <w:t>五、一般公共预算财政拨款支出决算情况说明</w:t>
          </w:r>
          <w:r>
            <w:rPr>
              <w:rFonts w:hint="eastAsia"/>
              <w:sz w:val="28"/>
              <w:szCs w:val="36"/>
            </w:rPr>
            <w:tab/>
          </w:r>
          <w:r>
            <w:rPr>
              <w:rFonts w:hint="eastAsia"/>
              <w:sz w:val="28"/>
              <w:szCs w:val="36"/>
            </w:rPr>
            <w:fldChar w:fldCharType="begin"/>
          </w:r>
          <w:r>
            <w:rPr>
              <w:rFonts w:hint="eastAsia"/>
              <w:sz w:val="28"/>
              <w:szCs w:val="36"/>
            </w:rPr>
            <w:instrText xml:space="preserve"> PAGEREF _Toc8004 \h </w:instrText>
          </w:r>
          <w:r>
            <w:rPr>
              <w:rFonts w:hint="eastAsia"/>
              <w:sz w:val="28"/>
              <w:szCs w:val="36"/>
            </w:rPr>
            <w:fldChar w:fldCharType="separate"/>
          </w:r>
          <w:r>
            <w:rPr>
              <w:rFonts w:hint="eastAsia"/>
              <w:sz w:val="28"/>
              <w:szCs w:val="36"/>
            </w:rPr>
            <w:t>- 8 -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_Toc9364 </w:instrText>
          </w:r>
          <w:r>
            <w:rPr>
              <w:rFonts w:hint="eastAsia"/>
              <w:sz w:val="28"/>
              <w:szCs w:val="36"/>
            </w:rPr>
            <w:fldChar w:fldCharType="separate"/>
          </w:r>
          <w:r>
            <w:rPr>
              <w:rFonts w:hint="eastAsia"/>
              <w:sz w:val="28"/>
              <w:szCs w:val="36"/>
            </w:rPr>
            <w:t>六、一般公共预算财政拨款基本支出决算情况说明</w:t>
          </w:r>
          <w:r>
            <w:rPr>
              <w:rFonts w:hint="eastAsia"/>
              <w:sz w:val="28"/>
              <w:szCs w:val="36"/>
            </w:rPr>
            <w:tab/>
          </w:r>
          <w:r>
            <w:rPr>
              <w:rFonts w:hint="eastAsia"/>
              <w:sz w:val="28"/>
              <w:szCs w:val="36"/>
            </w:rPr>
            <w:fldChar w:fldCharType="begin"/>
          </w:r>
          <w:r>
            <w:rPr>
              <w:rFonts w:hint="eastAsia"/>
              <w:sz w:val="28"/>
              <w:szCs w:val="36"/>
            </w:rPr>
            <w:instrText xml:space="preserve"> PAGEREF _Toc9364 \h </w:instrText>
          </w:r>
          <w:r>
            <w:rPr>
              <w:rFonts w:hint="eastAsia"/>
              <w:sz w:val="28"/>
              <w:szCs w:val="36"/>
            </w:rPr>
            <w:fldChar w:fldCharType="separate"/>
          </w:r>
          <w:r>
            <w:rPr>
              <w:rFonts w:hint="eastAsia"/>
              <w:sz w:val="28"/>
              <w:szCs w:val="36"/>
            </w:rPr>
            <w:t>- 11 -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_Toc8178 </w:instrText>
          </w:r>
          <w:r>
            <w:rPr>
              <w:rFonts w:hint="eastAsia"/>
              <w:sz w:val="28"/>
              <w:szCs w:val="36"/>
            </w:rPr>
            <w:fldChar w:fldCharType="separate"/>
          </w:r>
          <w:r>
            <w:rPr>
              <w:rFonts w:hint="eastAsia"/>
              <w:sz w:val="28"/>
              <w:szCs w:val="36"/>
            </w:rPr>
            <w:t>七、“三公”经费财政拨款支出决算情况说明</w:t>
          </w:r>
          <w:r>
            <w:rPr>
              <w:rFonts w:hint="eastAsia"/>
              <w:sz w:val="28"/>
              <w:szCs w:val="36"/>
            </w:rPr>
            <w:tab/>
          </w:r>
          <w:r>
            <w:rPr>
              <w:rFonts w:hint="eastAsia"/>
              <w:sz w:val="28"/>
              <w:szCs w:val="36"/>
            </w:rPr>
            <w:fldChar w:fldCharType="begin"/>
          </w:r>
          <w:r>
            <w:rPr>
              <w:rFonts w:hint="eastAsia"/>
              <w:sz w:val="28"/>
              <w:szCs w:val="36"/>
            </w:rPr>
            <w:instrText xml:space="preserve"> PAGEREF _Toc8178 \h </w:instrText>
          </w:r>
          <w:r>
            <w:rPr>
              <w:rFonts w:hint="eastAsia"/>
              <w:sz w:val="28"/>
              <w:szCs w:val="36"/>
            </w:rPr>
            <w:fldChar w:fldCharType="separate"/>
          </w:r>
          <w:r>
            <w:rPr>
              <w:rFonts w:hint="eastAsia"/>
              <w:sz w:val="28"/>
              <w:szCs w:val="36"/>
            </w:rPr>
            <w:t>- 11 -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_Toc31287 </w:instrText>
          </w:r>
          <w:r>
            <w:rPr>
              <w:rFonts w:hint="eastAsia"/>
              <w:sz w:val="28"/>
              <w:szCs w:val="36"/>
            </w:rPr>
            <w:fldChar w:fldCharType="separate"/>
          </w:r>
          <w:r>
            <w:rPr>
              <w:rFonts w:hint="eastAsia"/>
              <w:sz w:val="28"/>
              <w:szCs w:val="36"/>
            </w:rPr>
            <w:t>八、政府性基金预算支出决算情况说明</w:t>
          </w:r>
          <w:r>
            <w:rPr>
              <w:rFonts w:hint="eastAsia"/>
              <w:sz w:val="28"/>
              <w:szCs w:val="36"/>
            </w:rPr>
            <w:tab/>
          </w:r>
          <w:r>
            <w:rPr>
              <w:rFonts w:hint="eastAsia"/>
              <w:sz w:val="28"/>
              <w:szCs w:val="36"/>
            </w:rPr>
            <w:fldChar w:fldCharType="begin"/>
          </w:r>
          <w:r>
            <w:rPr>
              <w:rFonts w:hint="eastAsia"/>
              <w:sz w:val="28"/>
              <w:szCs w:val="36"/>
            </w:rPr>
            <w:instrText xml:space="preserve"> PAGEREF _Toc31287 \h </w:instrText>
          </w:r>
          <w:r>
            <w:rPr>
              <w:rFonts w:hint="eastAsia"/>
              <w:sz w:val="28"/>
              <w:szCs w:val="36"/>
            </w:rPr>
            <w:fldChar w:fldCharType="separate"/>
          </w:r>
          <w:r>
            <w:rPr>
              <w:rFonts w:hint="eastAsia"/>
              <w:sz w:val="28"/>
              <w:szCs w:val="36"/>
            </w:rPr>
            <w:t>- 14 -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_Toc8255 </w:instrText>
          </w:r>
          <w:r>
            <w:rPr>
              <w:rFonts w:hint="eastAsia"/>
              <w:sz w:val="28"/>
              <w:szCs w:val="36"/>
            </w:rPr>
            <w:fldChar w:fldCharType="separate"/>
          </w:r>
          <w:r>
            <w:rPr>
              <w:rFonts w:hint="eastAsia"/>
              <w:sz w:val="28"/>
              <w:szCs w:val="36"/>
            </w:rPr>
            <w:t>九、 国有资本经营预算支出决算情况说明</w:t>
          </w:r>
          <w:r>
            <w:rPr>
              <w:rFonts w:hint="eastAsia"/>
              <w:sz w:val="28"/>
              <w:szCs w:val="36"/>
            </w:rPr>
            <w:tab/>
          </w:r>
          <w:r>
            <w:rPr>
              <w:rFonts w:hint="eastAsia"/>
              <w:sz w:val="28"/>
              <w:szCs w:val="36"/>
            </w:rPr>
            <w:fldChar w:fldCharType="begin"/>
          </w:r>
          <w:r>
            <w:rPr>
              <w:rFonts w:hint="eastAsia"/>
              <w:sz w:val="28"/>
              <w:szCs w:val="36"/>
            </w:rPr>
            <w:instrText xml:space="preserve"> PAGEREF _Toc8255 \h </w:instrText>
          </w:r>
          <w:r>
            <w:rPr>
              <w:rFonts w:hint="eastAsia"/>
              <w:sz w:val="28"/>
              <w:szCs w:val="36"/>
            </w:rPr>
            <w:fldChar w:fldCharType="separate"/>
          </w:r>
          <w:r>
            <w:rPr>
              <w:rFonts w:hint="eastAsia"/>
              <w:sz w:val="28"/>
              <w:szCs w:val="36"/>
            </w:rPr>
            <w:t>- 14 -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_Toc466 </w:instrText>
          </w:r>
          <w:r>
            <w:rPr>
              <w:rFonts w:hint="eastAsia"/>
              <w:sz w:val="28"/>
              <w:szCs w:val="36"/>
            </w:rPr>
            <w:fldChar w:fldCharType="separate"/>
          </w:r>
          <w:r>
            <w:rPr>
              <w:rFonts w:hint="eastAsia"/>
              <w:sz w:val="28"/>
              <w:szCs w:val="36"/>
            </w:rPr>
            <w:t>十、 其他重要事项的情况说明</w:t>
          </w:r>
          <w:r>
            <w:rPr>
              <w:rFonts w:hint="eastAsia"/>
              <w:sz w:val="28"/>
              <w:szCs w:val="36"/>
            </w:rPr>
            <w:tab/>
          </w:r>
          <w:r>
            <w:rPr>
              <w:rFonts w:hint="eastAsia"/>
              <w:sz w:val="28"/>
              <w:szCs w:val="36"/>
            </w:rPr>
            <w:fldChar w:fldCharType="begin"/>
          </w:r>
          <w:r>
            <w:rPr>
              <w:rFonts w:hint="eastAsia"/>
              <w:sz w:val="28"/>
              <w:szCs w:val="36"/>
            </w:rPr>
            <w:instrText xml:space="preserve"> PAGEREF _Toc466 \h </w:instrText>
          </w:r>
          <w:r>
            <w:rPr>
              <w:rFonts w:hint="eastAsia"/>
              <w:sz w:val="28"/>
              <w:szCs w:val="36"/>
            </w:rPr>
            <w:fldChar w:fldCharType="separate"/>
          </w:r>
          <w:r>
            <w:rPr>
              <w:rFonts w:hint="eastAsia"/>
              <w:sz w:val="28"/>
              <w:szCs w:val="36"/>
            </w:rPr>
            <w:t>- 14 -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_Toc19335 </w:instrText>
          </w:r>
          <w:r>
            <w:rPr>
              <w:rFonts w:hint="eastAsia"/>
              <w:sz w:val="28"/>
              <w:szCs w:val="36"/>
            </w:rPr>
            <w:fldChar w:fldCharType="separate"/>
          </w:r>
          <w:r>
            <w:rPr>
              <w:rFonts w:hint="eastAsia"/>
              <w:sz w:val="28"/>
              <w:szCs w:val="36"/>
            </w:rPr>
            <w:t>第三部分 名词解释</w:t>
          </w:r>
          <w:r>
            <w:rPr>
              <w:rFonts w:hint="eastAsia"/>
              <w:sz w:val="28"/>
              <w:szCs w:val="36"/>
            </w:rPr>
            <w:tab/>
          </w:r>
          <w:r>
            <w:rPr>
              <w:rFonts w:hint="eastAsia"/>
              <w:sz w:val="28"/>
              <w:szCs w:val="36"/>
            </w:rPr>
            <w:fldChar w:fldCharType="begin"/>
          </w:r>
          <w:r>
            <w:rPr>
              <w:rFonts w:hint="eastAsia"/>
              <w:sz w:val="28"/>
              <w:szCs w:val="36"/>
            </w:rPr>
            <w:instrText xml:space="preserve"> PAGEREF _Toc19335 \h </w:instrText>
          </w:r>
          <w:r>
            <w:rPr>
              <w:rFonts w:hint="eastAsia"/>
              <w:sz w:val="28"/>
              <w:szCs w:val="36"/>
            </w:rPr>
            <w:fldChar w:fldCharType="separate"/>
          </w:r>
          <w:r>
            <w:rPr>
              <w:rFonts w:hint="eastAsia"/>
              <w:sz w:val="28"/>
              <w:szCs w:val="36"/>
            </w:rPr>
            <w:t>- 16 -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_Toc9935 </w:instrText>
          </w:r>
          <w:r>
            <w:rPr>
              <w:rFonts w:hint="eastAsia"/>
              <w:sz w:val="28"/>
              <w:szCs w:val="36"/>
            </w:rPr>
            <w:fldChar w:fldCharType="separate"/>
          </w:r>
          <w:r>
            <w:rPr>
              <w:rFonts w:hint="eastAsia"/>
              <w:sz w:val="28"/>
              <w:szCs w:val="36"/>
            </w:rPr>
            <w:t>第四部分 附件</w:t>
          </w:r>
          <w:r>
            <w:rPr>
              <w:rFonts w:hint="eastAsia"/>
              <w:sz w:val="28"/>
              <w:szCs w:val="36"/>
            </w:rPr>
            <w:tab/>
          </w:r>
          <w:r>
            <w:rPr>
              <w:rFonts w:hint="eastAsia"/>
              <w:sz w:val="28"/>
              <w:szCs w:val="36"/>
            </w:rPr>
            <w:fldChar w:fldCharType="begin"/>
          </w:r>
          <w:r>
            <w:rPr>
              <w:rFonts w:hint="eastAsia"/>
              <w:sz w:val="28"/>
              <w:szCs w:val="36"/>
            </w:rPr>
            <w:instrText xml:space="preserve"> PAGEREF _Toc9935 \h </w:instrText>
          </w:r>
          <w:r>
            <w:rPr>
              <w:rFonts w:hint="eastAsia"/>
              <w:sz w:val="28"/>
              <w:szCs w:val="36"/>
            </w:rPr>
            <w:fldChar w:fldCharType="separate"/>
          </w:r>
          <w:r>
            <w:rPr>
              <w:rFonts w:hint="eastAsia"/>
              <w:sz w:val="28"/>
              <w:szCs w:val="36"/>
            </w:rPr>
            <w:t>- 19 -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_Toc12571 </w:instrText>
          </w:r>
          <w:r>
            <w:rPr>
              <w:rFonts w:hint="eastAsia"/>
              <w:sz w:val="28"/>
              <w:szCs w:val="36"/>
            </w:rPr>
            <w:fldChar w:fldCharType="separate"/>
          </w:r>
          <w:r>
            <w:rPr>
              <w:rFonts w:hint="eastAsia"/>
              <w:sz w:val="28"/>
              <w:szCs w:val="36"/>
            </w:rPr>
            <w:t>第五部分 附表</w:t>
          </w:r>
          <w:r>
            <w:rPr>
              <w:rFonts w:hint="eastAsia"/>
              <w:sz w:val="28"/>
              <w:szCs w:val="36"/>
            </w:rPr>
            <w:tab/>
          </w:r>
          <w:r>
            <w:rPr>
              <w:rFonts w:hint="eastAsia"/>
              <w:sz w:val="28"/>
              <w:szCs w:val="36"/>
            </w:rPr>
            <w:fldChar w:fldCharType="begin"/>
          </w:r>
          <w:r>
            <w:rPr>
              <w:rFonts w:hint="eastAsia"/>
              <w:sz w:val="28"/>
              <w:szCs w:val="36"/>
            </w:rPr>
            <w:instrText xml:space="preserve"> PAGEREF _Toc12571 \h </w:instrText>
          </w:r>
          <w:r>
            <w:rPr>
              <w:rFonts w:hint="eastAsia"/>
              <w:sz w:val="28"/>
              <w:szCs w:val="36"/>
            </w:rPr>
            <w:fldChar w:fldCharType="separate"/>
          </w:r>
          <w:r>
            <w:rPr>
              <w:rFonts w:hint="eastAsia"/>
              <w:sz w:val="28"/>
              <w:szCs w:val="36"/>
            </w:rPr>
            <w:t>- 20 -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_Toc25121 </w:instrText>
          </w:r>
          <w:r>
            <w:rPr>
              <w:rFonts w:hint="eastAsia"/>
              <w:sz w:val="28"/>
              <w:szCs w:val="36"/>
            </w:rPr>
            <w:fldChar w:fldCharType="separate"/>
          </w:r>
          <w:r>
            <w:rPr>
              <w:rFonts w:hint="eastAsia"/>
              <w:sz w:val="28"/>
              <w:szCs w:val="36"/>
            </w:rPr>
            <w:t>一、收入支出决算总表</w:t>
          </w:r>
          <w:r>
            <w:rPr>
              <w:rFonts w:hint="eastAsia"/>
              <w:sz w:val="28"/>
              <w:szCs w:val="36"/>
            </w:rPr>
            <w:tab/>
          </w:r>
          <w:r>
            <w:rPr>
              <w:rFonts w:hint="eastAsia"/>
              <w:sz w:val="28"/>
              <w:szCs w:val="36"/>
            </w:rPr>
            <w:fldChar w:fldCharType="begin"/>
          </w:r>
          <w:r>
            <w:rPr>
              <w:rFonts w:hint="eastAsia"/>
              <w:sz w:val="28"/>
              <w:szCs w:val="36"/>
            </w:rPr>
            <w:instrText xml:space="preserve"> PAGEREF _Toc25121 \h </w:instrText>
          </w:r>
          <w:r>
            <w:rPr>
              <w:rFonts w:hint="eastAsia"/>
              <w:sz w:val="28"/>
              <w:szCs w:val="36"/>
            </w:rPr>
            <w:fldChar w:fldCharType="separate"/>
          </w:r>
          <w:r>
            <w:rPr>
              <w:rFonts w:hint="eastAsia"/>
              <w:sz w:val="28"/>
              <w:szCs w:val="36"/>
            </w:rPr>
            <w:t>- 20 -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_Toc21215 </w:instrText>
          </w:r>
          <w:r>
            <w:rPr>
              <w:rFonts w:hint="eastAsia"/>
              <w:sz w:val="28"/>
              <w:szCs w:val="36"/>
            </w:rPr>
            <w:fldChar w:fldCharType="separate"/>
          </w:r>
          <w:r>
            <w:rPr>
              <w:rFonts w:hint="eastAsia"/>
              <w:sz w:val="28"/>
              <w:szCs w:val="36"/>
            </w:rPr>
            <w:t>二、收入决算表</w:t>
          </w:r>
          <w:r>
            <w:rPr>
              <w:rFonts w:hint="eastAsia"/>
              <w:sz w:val="28"/>
              <w:szCs w:val="36"/>
            </w:rPr>
            <w:tab/>
          </w:r>
          <w:r>
            <w:rPr>
              <w:rFonts w:hint="eastAsia"/>
              <w:sz w:val="28"/>
              <w:szCs w:val="36"/>
            </w:rPr>
            <w:fldChar w:fldCharType="begin"/>
          </w:r>
          <w:r>
            <w:rPr>
              <w:rFonts w:hint="eastAsia"/>
              <w:sz w:val="28"/>
              <w:szCs w:val="36"/>
            </w:rPr>
            <w:instrText xml:space="preserve"> PAGEREF _Toc21215 \h </w:instrText>
          </w:r>
          <w:r>
            <w:rPr>
              <w:rFonts w:hint="eastAsia"/>
              <w:sz w:val="28"/>
              <w:szCs w:val="36"/>
            </w:rPr>
            <w:fldChar w:fldCharType="separate"/>
          </w:r>
          <w:r>
            <w:rPr>
              <w:rFonts w:hint="eastAsia"/>
              <w:sz w:val="28"/>
              <w:szCs w:val="36"/>
            </w:rPr>
            <w:t>- 20 -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_Toc13608 </w:instrText>
          </w:r>
          <w:r>
            <w:rPr>
              <w:rFonts w:hint="eastAsia"/>
              <w:sz w:val="28"/>
              <w:szCs w:val="36"/>
            </w:rPr>
            <w:fldChar w:fldCharType="separate"/>
          </w:r>
          <w:r>
            <w:rPr>
              <w:rFonts w:hint="eastAsia"/>
              <w:sz w:val="28"/>
              <w:szCs w:val="36"/>
            </w:rPr>
            <w:t>三、支出决算表</w:t>
          </w:r>
          <w:r>
            <w:rPr>
              <w:rFonts w:hint="eastAsia"/>
              <w:sz w:val="28"/>
              <w:szCs w:val="36"/>
            </w:rPr>
            <w:tab/>
          </w:r>
          <w:r>
            <w:rPr>
              <w:rFonts w:hint="eastAsia"/>
              <w:sz w:val="28"/>
              <w:szCs w:val="36"/>
            </w:rPr>
            <w:fldChar w:fldCharType="begin"/>
          </w:r>
          <w:r>
            <w:rPr>
              <w:rFonts w:hint="eastAsia"/>
              <w:sz w:val="28"/>
              <w:szCs w:val="36"/>
            </w:rPr>
            <w:instrText xml:space="preserve"> PAGEREF _Toc13608 \h </w:instrText>
          </w:r>
          <w:r>
            <w:rPr>
              <w:rFonts w:hint="eastAsia"/>
              <w:sz w:val="28"/>
              <w:szCs w:val="36"/>
            </w:rPr>
            <w:fldChar w:fldCharType="separate"/>
          </w:r>
          <w:r>
            <w:rPr>
              <w:rFonts w:hint="eastAsia"/>
              <w:sz w:val="28"/>
              <w:szCs w:val="36"/>
            </w:rPr>
            <w:t>- 20 -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_Toc28918 </w:instrText>
          </w:r>
          <w:r>
            <w:rPr>
              <w:rFonts w:hint="eastAsia"/>
              <w:sz w:val="28"/>
              <w:szCs w:val="36"/>
            </w:rPr>
            <w:fldChar w:fldCharType="separate"/>
          </w:r>
          <w:r>
            <w:rPr>
              <w:rFonts w:hint="eastAsia"/>
              <w:sz w:val="28"/>
              <w:szCs w:val="36"/>
            </w:rPr>
            <w:t>四、财政拨款收入支出决算总表</w:t>
          </w:r>
          <w:r>
            <w:rPr>
              <w:rFonts w:hint="eastAsia"/>
              <w:sz w:val="28"/>
              <w:szCs w:val="36"/>
            </w:rPr>
            <w:tab/>
          </w:r>
          <w:r>
            <w:rPr>
              <w:rFonts w:hint="eastAsia"/>
              <w:sz w:val="28"/>
              <w:szCs w:val="36"/>
            </w:rPr>
            <w:fldChar w:fldCharType="begin"/>
          </w:r>
          <w:r>
            <w:rPr>
              <w:rFonts w:hint="eastAsia"/>
              <w:sz w:val="28"/>
              <w:szCs w:val="36"/>
            </w:rPr>
            <w:instrText xml:space="preserve"> PAGEREF _Toc28918 \h </w:instrText>
          </w:r>
          <w:r>
            <w:rPr>
              <w:rFonts w:hint="eastAsia"/>
              <w:sz w:val="28"/>
              <w:szCs w:val="36"/>
            </w:rPr>
            <w:fldChar w:fldCharType="separate"/>
          </w:r>
          <w:r>
            <w:rPr>
              <w:rFonts w:hint="eastAsia"/>
              <w:sz w:val="28"/>
              <w:szCs w:val="36"/>
            </w:rPr>
            <w:t>- 20 -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_Toc21760 </w:instrText>
          </w:r>
          <w:r>
            <w:rPr>
              <w:rFonts w:hint="eastAsia"/>
              <w:sz w:val="28"/>
              <w:szCs w:val="36"/>
            </w:rPr>
            <w:fldChar w:fldCharType="separate"/>
          </w:r>
          <w:r>
            <w:rPr>
              <w:rFonts w:hint="eastAsia"/>
              <w:sz w:val="28"/>
              <w:szCs w:val="36"/>
            </w:rPr>
            <w:t>五、财政拨款支出决算明细表</w:t>
          </w:r>
          <w:r>
            <w:rPr>
              <w:rFonts w:hint="eastAsia"/>
              <w:sz w:val="28"/>
              <w:szCs w:val="36"/>
            </w:rPr>
            <w:tab/>
          </w:r>
          <w:r>
            <w:rPr>
              <w:rFonts w:hint="eastAsia"/>
              <w:sz w:val="28"/>
              <w:szCs w:val="36"/>
            </w:rPr>
            <w:fldChar w:fldCharType="begin"/>
          </w:r>
          <w:r>
            <w:rPr>
              <w:rFonts w:hint="eastAsia"/>
              <w:sz w:val="28"/>
              <w:szCs w:val="36"/>
            </w:rPr>
            <w:instrText xml:space="preserve"> PAGEREF _Toc21760 \h </w:instrText>
          </w:r>
          <w:r>
            <w:rPr>
              <w:rFonts w:hint="eastAsia"/>
              <w:sz w:val="28"/>
              <w:szCs w:val="36"/>
            </w:rPr>
            <w:fldChar w:fldCharType="separate"/>
          </w:r>
          <w:r>
            <w:rPr>
              <w:rFonts w:hint="eastAsia"/>
              <w:sz w:val="28"/>
              <w:szCs w:val="36"/>
            </w:rPr>
            <w:t>- 20 -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_Toc25651 </w:instrText>
          </w:r>
          <w:r>
            <w:rPr>
              <w:rFonts w:hint="eastAsia"/>
              <w:sz w:val="28"/>
              <w:szCs w:val="36"/>
            </w:rPr>
            <w:fldChar w:fldCharType="separate"/>
          </w:r>
          <w:r>
            <w:rPr>
              <w:rFonts w:hint="eastAsia"/>
              <w:sz w:val="28"/>
              <w:szCs w:val="36"/>
            </w:rPr>
            <w:t>六、一般公共预算财政拨款支出决算表</w:t>
          </w:r>
          <w:r>
            <w:rPr>
              <w:rFonts w:hint="eastAsia"/>
              <w:sz w:val="28"/>
              <w:szCs w:val="36"/>
            </w:rPr>
            <w:tab/>
          </w:r>
          <w:r>
            <w:rPr>
              <w:rFonts w:hint="eastAsia"/>
              <w:sz w:val="28"/>
              <w:szCs w:val="36"/>
            </w:rPr>
            <w:fldChar w:fldCharType="begin"/>
          </w:r>
          <w:r>
            <w:rPr>
              <w:rFonts w:hint="eastAsia"/>
              <w:sz w:val="28"/>
              <w:szCs w:val="36"/>
            </w:rPr>
            <w:instrText xml:space="preserve"> PAGEREF _Toc25651 \h </w:instrText>
          </w:r>
          <w:r>
            <w:rPr>
              <w:rFonts w:hint="eastAsia"/>
              <w:sz w:val="28"/>
              <w:szCs w:val="36"/>
            </w:rPr>
            <w:fldChar w:fldCharType="separate"/>
          </w:r>
          <w:r>
            <w:rPr>
              <w:rFonts w:hint="eastAsia"/>
              <w:sz w:val="28"/>
              <w:szCs w:val="36"/>
            </w:rPr>
            <w:t>- 20 -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_Toc16276 </w:instrText>
          </w:r>
          <w:r>
            <w:rPr>
              <w:rFonts w:hint="eastAsia"/>
              <w:sz w:val="28"/>
              <w:szCs w:val="36"/>
            </w:rPr>
            <w:fldChar w:fldCharType="separate"/>
          </w:r>
          <w:r>
            <w:rPr>
              <w:rFonts w:hint="eastAsia"/>
              <w:sz w:val="28"/>
              <w:szCs w:val="36"/>
            </w:rPr>
            <w:t>七、一般公共预算财政拨款支出决算明细表</w:t>
          </w:r>
          <w:r>
            <w:rPr>
              <w:rFonts w:hint="eastAsia"/>
              <w:sz w:val="28"/>
              <w:szCs w:val="36"/>
            </w:rPr>
            <w:tab/>
          </w:r>
          <w:r>
            <w:rPr>
              <w:rFonts w:hint="eastAsia"/>
              <w:sz w:val="28"/>
              <w:szCs w:val="36"/>
            </w:rPr>
            <w:fldChar w:fldCharType="begin"/>
          </w:r>
          <w:r>
            <w:rPr>
              <w:rFonts w:hint="eastAsia"/>
              <w:sz w:val="28"/>
              <w:szCs w:val="36"/>
            </w:rPr>
            <w:instrText xml:space="preserve"> PAGEREF _Toc16276 \h </w:instrText>
          </w:r>
          <w:r>
            <w:rPr>
              <w:rFonts w:hint="eastAsia"/>
              <w:sz w:val="28"/>
              <w:szCs w:val="36"/>
            </w:rPr>
            <w:fldChar w:fldCharType="separate"/>
          </w:r>
          <w:r>
            <w:rPr>
              <w:rFonts w:hint="eastAsia"/>
              <w:sz w:val="28"/>
              <w:szCs w:val="36"/>
            </w:rPr>
            <w:t>- 20 -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_Toc8627 </w:instrText>
          </w:r>
          <w:r>
            <w:rPr>
              <w:rFonts w:hint="eastAsia"/>
              <w:sz w:val="28"/>
              <w:szCs w:val="36"/>
            </w:rPr>
            <w:fldChar w:fldCharType="separate"/>
          </w:r>
          <w:r>
            <w:rPr>
              <w:rFonts w:hint="eastAsia"/>
              <w:sz w:val="28"/>
              <w:szCs w:val="36"/>
            </w:rPr>
            <w:t>八、一般公共预算财政拨款基本支出决算表</w:t>
          </w:r>
          <w:r>
            <w:rPr>
              <w:rFonts w:hint="eastAsia"/>
              <w:sz w:val="28"/>
              <w:szCs w:val="36"/>
            </w:rPr>
            <w:tab/>
          </w:r>
          <w:r>
            <w:rPr>
              <w:rFonts w:hint="eastAsia"/>
              <w:sz w:val="28"/>
              <w:szCs w:val="36"/>
            </w:rPr>
            <w:fldChar w:fldCharType="begin"/>
          </w:r>
          <w:r>
            <w:rPr>
              <w:rFonts w:hint="eastAsia"/>
              <w:sz w:val="28"/>
              <w:szCs w:val="36"/>
            </w:rPr>
            <w:instrText xml:space="preserve"> PAGEREF _Toc8627 \h </w:instrText>
          </w:r>
          <w:r>
            <w:rPr>
              <w:rFonts w:hint="eastAsia"/>
              <w:sz w:val="28"/>
              <w:szCs w:val="36"/>
            </w:rPr>
            <w:fldChar w:fldCharType="separate"/>
          </w:r>
          <w:r>
            <w:rPr>
              <w:rFonts w:hint="eastAsia"/>
              <w:sz w:val="28"/>
              <w:szCs w:val="36"/>
            </w:rPr>
            <w:t>- 20 -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_Toc12545 </w:instrText>
          </w:r>
          <w:r>
            <w:rPr>
              <w:rFonts w:hint="eastAsia"/>
              <w:sz w:val="28"/>
              <w:szCs w:val="36"/>
            </w:rPr>
            <w:fldChar w:fldCharType="separate"/>
          </w:r>
          <w:r>
            <w:rPr>
              <w:rFonts w:hint="eastAsia"/>
              <w:sz w:val="28"/>
              <w:szCs w:val="36"/>
            </w:rPr>
            <w:t>九、一般公共预算财政拨款项目支出决算表</w:t>
          </w:r>
          <w:r>
            <w:rPr>
              <w:rFonts w:hint="eastAsia"/>
              <w:sz w:val="28"/>
              <w:szCs w:val="36"/>
            </w:rPr>
            <w:tab/>
          </w:r>
          <w:r>
            <w:rPr>
              <w:rFonts w:hint="eastAsia"/>
              <w:sz w:val="28"/>
              <w:szCs w:val="36"/>
            </w:rPr>
            <w:fldChar w:fldCharType="begin"/>
          </w:r>
          <w:r>
            <w:rPr>
              <w:rFonts w:hint="eastAsia"/>
              <w:sz w:val="28"/>
              <w:szCs w:val="36"/>
            </w:rPr>
            <w:instrText xml:space="preserve"> PAGEREF _Toc12545 \h </w:instrText>
          </w:r>
          <w:r>
            <w:rPr>
              <w:rFonts w:hint="eastAsia"/>
              <w:sz w:val="28"/>
              <w:szCs w:val="36"/>
            </w:rPr>
            <w:fldChar w:fldCharType="separate"/>
          </w:r>
          <w:r>
            <w:rPr>
              <w:rFonts w:hint="eastAsia"/>
              <w:sz w:val="28"/>
              <w:szCs w:val="36"/>
            </w:rPr>
            <w:t>- 20 -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_Toc27335 </w:instrText>
          </w:r>
          <w:r>
            <w:rPr>
              <w:rFonts w:hint="eastAsia"/>
              <w:sz w:val="28"/>
              <w:szCs w:val="36"/>
            </w:rPr>
            <w:fldChar w:fldCharType="separate"/>
          </w:r>
          <w:r>
            <w:rPr>
              <w:rFonts w:hint="eastAsia"/>
              <w:sz w:val="28"/>
              <w:szCs w:val="36"/>
            </w:rPr>
            <w:t>十、一般公共预算财政拨款“三公”经费支出决算表</w:t>
          </w:r>
          <w:r>
            <w:rPr>
              <w:rFonts w:hint="eastAsia"/>
              <w:sz w:val="28"/>
              <w:szCs w:val="36"/>
            </w:rPr>
            <w:tab/>
          </w:r>
          <w:r>
            <w:rPr>
              <w:rFonts w:hint="eastAsia"/>
              <w:sz w:val="28"/>
              <w:szCs w:val="36"/>
            </w:rPr>
            <w:fldChar w:fldCharType="begin"/>
          </w:r>
          <w:r>
            <w:rPr>
              <w:rFonts w:hint="eastAsia"/>
              <w:sz w:val="28"/>
              <w:szCs w:val="36"/>
            </w:rPr>
            <w:instrText xml:space="preserve"> PAGEREF _Toc27335 \h </w:instrText>
          </w:r>
          <w:r>
            <w:rPr>
              <w:rFonts w:hint="eastAsia"/>
              <w:sz w:val="28"/>
              <w:szCs w:val="36"/>
            </w:rPr>
            <w:fldChar w:fldCharType="separate"/>
          </w:r>
          <w:r>
            <w:rPr>
              <w:rFonts w:hint="eastAsia"/>
              <w:sz w:val="28"/>
              <w:szCs w:val="36"/>
            </w:rPr>
            <w:t>- 20 -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_Toc11348 </w:instrText>
          </w:r>
          <w:r>
            <w:rPr>
              <w:rFonts w:hint="eastAsia"/>
              <w:sz w:val="28"/>
              <w:szCs w:val="36"/>
            </w:rPr>
            <w:fldChar w:fldCharType="separate"/>
          </w:r>
          <w:r>
            <w:rPr>
              <w:rFonts w:hint="eastAsia"/>
              <w:sz w:val="28"/>
              <w:szCs w:val="36"/>
            </w:rPr>
            <w:t>十一、政府性基金预算财政拨款收入支出决算表</w:t>
          </w:r>
          <w:r>
            <w:rPr>
              <w:rFonts w:hint="eastAsia"/>
              <w:sz w:val="28"/>
              <w:szCs w:val="36"/>
            </w:rPr>
            <w:tab/>
          </w:r>
          <w:r>
            <w:rPr>
              <w:rFonts w:hint="eastAsia"/>
              <w:sz w:val="28"/>
              <w:szCs w:val="36"/>
            </w:rPr>
            <w:fldChar w:fldCharType="begin"/>
          </w:r>
          <w:r>
            <w:rPr>
              <w:rFonts w:hint="eastAsia"/>
              <w:sz w:val="28"/>
              <w:szCs w:val="36"/>
            </w:rPr>
            <w:instrText xml:space="preserve"> PAGEREF _Toc11348 \h </w:instrText>
          </w:r>
          <w:r>
            <w:rPr>
              <w:rFonts w:hint="eastAsia"/>
              <w:sz w:val="28"/>
              <w:szCs w:val="36"/>
            </w:rPr>
            <w:fldChar w:fldCharType="separate"/>
          </w:r>
          <w:r>
            <w:rPr>
              <w:rFonts w:hint="eastAsia"/>
              <w:sz w:val="28"/>
              <w:szCs w:val="36"/>
            </w:rPr>
            <w:t>- 20 -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_Toc26948 </w:instrText>
          </w:r>
          <w:r>
            <w:rPr>
              <w:rFonts w:hint="eastAsia"/>
              <w:sz w:val="28"/>
              <w:szCs w:val="36"/>
            </w:rPr>
            <w:fldChar w:fldCharType="separate"/>
          </w:r>
          <w:r>
            <w:rPr>
              <w:rFonts w:hint="eastAsia"/>
              <w:sz w:val="28"/>
              <w:szCs w:val="36"/>
            </w:rPr>
            <w:t>十二、政府性基金预算财政拨款“三公”经费支出决算表</w:t>
          </w:r>
          <w:r>
            <w:rPr>
              <w:rFonts w:hint="eastAsia"/>
              <w:sz w:val="28"/>
              <w:szCs w:val="36"/>
            </w:rPr>
            <w:tab/>
          </w:r>
          <w:r>
            <w:rPr>
              <w:rFonts w:hint="eastAsia"/>
              <w:sz w:val="28"/>
              <w:szCs w:val="36"/>
            </w:rPr>
            <w:fldChar w:fldCharType="begin"/>
          </w:r>
          <w:r>
            <w:rPr>
              <w:rFonts w:hint="eastAsia"/>
              <w:sz w:val="28"/>
              <w:szCs w:val="36"/>
            </w:rPr>
            <w:instrText xml:space="preserve"> PAGEREF _Toc26948 \h </w:instrText>
          </w:r>
          <w:r>
            <w:rPr>
              <w:rFonts w:hint="eastAsia"/>
              <w:sz w:val="28"/>
              <w:szCs w:val="36"/>
            </w:rPr>
            <w:fldChar w:fldCharType="separate"/>
          </w:r>
          <w:r>
            <w:rPr>
              <w:rFonts w:hint="eastAsia"/>
              <w:sz w:val="28"/>
              <w:szCs w:val="36"/>
            </w:rPr>
            <w:t>- 20 -</w:t>
          </w:r>
          <w:r>
            <w:rPr>
              <w:rFonts w:hint="eastAsia"/>
              <w:sz w:val="28"/>
              <w:szCs w:val="36"/>
            </w:rPr>
            <w:fldChar w:fldCharType="end"/>
          </w:r>
          <w:r>
            <w:rPr>
              <w:rFonts w:hint="eastAsia"/>
              <w:sz w:val="28"/>
              <w:szCs w:val="36"/>
            </w:rPr>
            <w:fldChar w:fldCharType="end"/>
          </w:r>
        </w:p>
        <w:p>
          <w:pPr>
            <w:pStyle w:val="15"/>
            <w:bidi w:val="0"/>
            <w:rPr>
              <w:rFonts w:hint="eastAsia"/>
              <w:sz w:val="28"/>
              <w:szCs w:val="36"/>
            </w:rPr>
          </w:pPr>
          <w:r>
            <w:rPr>
              <w:rFonts w:hint="eastAsia"/>
              <w:sz w:val="28"/>
              <w:szCs w:val="36"/>
            </w:rPr>
            <w:fldChar w:fldCharType="begin"/>
          </w:r>
          <w:r>
            <w:rPr>
              <w:rFonts w:hint="eastAsia"/>
              <w:sz w:val="28"/>
              <w:szCs w:val="36"/>
            </w:rPr>
            <w:instrText xml:space="preserve"> HYPERLINK \l _Toc800 </w:instrText>
          </w:r>
          <w:r>
            <w:rPr>
              <w:rFonts w:hint="eastAsia"/>
              <w:sz w:val="28"/>
              <w:szCs w:val="36"/>
            </w:rPr>
            <w:fldChar w:fldCharType="separate"/>
          </w:r>
          <w:r>
            <w:rPr>
              <w:rFonts w:hint="eastAsia"/>
              <w:sz w:val="28"/>
              <w:szCs w:val="36"/>
            </w:rPr>
            <w:t>十三、国有资本经营预算</w:t>
          </w:r>
          <w:r>
            <w:rPr>
              <w:rFonts w:hint="eastAsia"/>
              <w:sz w:val="28"/>
              <w:szCs w:val="36"/>
              <w:lang w:eastAsia="zh-CN"/>
            </w:rPr>
            <w:t>财政拨款收入</w:t>
          </w:r>
          <w:r>
            <w:rPr>
              <w:rFonts w:hint="eastAsia"/>
              <w:sz w:val="28"/>
              <w:szCs w:val="36"/>
            </w:rPr>
            <w:t>支出决算表</w:t>
          </w:r>
          <w:r>
            <w:rPr>
              <w:rFonts w:hint="eastAsia"/>
              <w:sz w:val="28"/>
              <w:szCs w:val="36"/>
            </w:rPr>
            <w:tab/>
          </w:r>
          <w:r>
            <w:rPr>
              <w:rFonts w:hint="eastAsia"/>
              <w:sz w:val="28"/>
              <w:szCs w:val="36"/>
            </w:rPr>
            <w:fldChar w:fldCharType="begin"/>
          </w:r>
          <w:r>
            <w:rPr>
              <w:rFonts w:hint="eastAsia"/>
              <w:sz w:val="28"/>
              <w:szCs w:val="36"/>
            </w:rPr>
            <w:instrText xml:space="preserve"> PAGEREF _Toc800 \h </w:instrText>
          </w:r>
          <w:r>
            <w:rPr>
              <w:rFonts w:hint="eastAsia"/>
              <w:sz w:val="28"/>
              <w:szCs w:val="36"/>
            </w:rPr>
            <w:fldChar w:fldCharType="separate"/>
          </w:r>
          <w:r>
            <w:rPr>
              <w:rFonts w:hint="eastAsia"/>
              <w:sz w:val="28"/>
              <w:szCs w:val="36"/>
            </w:rPr>
            <w:t>- 20 -</w:t>
          </w:r>
          <w:r>
            <w:rPr>
              <w:rFonts w:hint="eastAsia"/>
              <w:sz w:val="28"/>
              <w:szCs w:val="36"/>
            </w:rPr>
            <w:fldChar w:fldCharType="end"/>
          </w:r>
          <w:r>
            <w:rPr>
              <w:rFonts w:hint="eastAsia"/>
              <w:sz w:val="28"/>
              <w:szCs w:val="36"/>
            </w:rPr>
            <w:fldChar w:fldCharType="end"/>
          </w:r>
        </w:p>
        <w:p>
          <w:pPr>
            <w:pStyle w:val="15"/>
            <w:bidi w:val="0"/>
            <w:rPr>
              <w:rFonts w:hint="eastAsia"/>
            </w:rPr>
          </w:pPr>
          <w:r>
            <w:rPr>
              <w:rFonts w:hint="eastAsia"/>
              <w:sz w:val="28"/>
              <w:szCs w:val="36"/>
            </w:rPr>
            <w:fldChar w:fldCharType="begin"/>
          </w:r>
          <w:r>
            <w:rPr>
              <w:rFonts w:hint="eastAsia"/>
              <w:sz w:val="28"/>
              <w:szCs w:val="36"/>
            </w:rPr>
            <w:instrText xml:space="preserve"> HYPERLINK \l _Toc823 </w:instrText>
          </w:r>
          <w:r>
            <w:rPr>
              <w:rFonts w:hint="eastAsia"/>
              <w:sz w:val="28"/>
              <w:szCs w:val="36"/>
            </w:rPr>
            <w:fldChar w:fldCharType="separate"/>
          </w:r>
          <w:r>
            <w:rPr>
              <w:rFonts w:hint="eastAsia"/>
              <w:sz w:val="28"/>
              <w:szCs w:val="36"/>
              <w:lang w:eastAsia="zh-CN"/>
            </w:rPr>
            <w:t>十四、国有资本经营预算财政拨款支出决算表</w:t>
          </w:r>
          <w:r>
            <w:rPr>
              <w:rFonts w:hint="eastAsia"/>
              <w:sz w:val="28"/>
              <w:szCs w:val="36"/>
            </w:rPr>
            <w:tab/>
          </w:r>
          <w:r>
            <w:rPr>
              <w:rFonts w:hint="eastAsia"/>
              <w:sz w:val="28"/>
              <w:szCs w:val="36"/>
            </w:rPr>
            <w:fldChar w:fldCharType="begin"/>
          </w:r>
          <w:r>
            <w:rPr>
              <w:rFonts w:hint="eastAsia"/>
              <w:sz w:val="28"/>
              <w:szCs w:val="36"/>
            </w:rPr>
            <w:instrText xml:space="preserve"> PAGEREF _Toc823 \h </w:instrText>
          </w:r>
          <w:r>
            <w:rPr>
              <w:rFonts w:hint="eastAsia"/>
              <w:sz w:val="28"/>
              <w:szCs w:val="36"/>
            </w:rPr>
            <w:fldChar w:fldCharType="separate"/>
          </w:r>
          <w:r>
            <w:rPr>
              <w:rFonts w:hint="eastAsia"/>
              <w:sz w:val="28"/>
              <w:szCs w:val="36"/>
            </w:rPr>
            <w:t>- 20 -</w:t>
          </w:r>
          <w:r>
            <w:rPr>
              <w:rFonts w:hint="eastAsia"/>
              <w:sz w:val="28"/>
              <w:szCs w:val="36"/>
            </w:rPr>
            <w:fldChar w:fldCharType="end"/>
          </w:r>
          <w:r>
            <w:rPr>
              <w:rFonts w:hint="eastAsia"/>
              <w:sz w:val="28"/>
              <w:szCs w:val="36"/>
            </w:rPr>
            <w:fldChar w:fldCharType="end"/>
          </w:r>
        </w:p>
        <w:p>
          <w:pPr>
            <w:spacing w:before="0" w:beforeLines="0" w:after="0" w:afterLines="0" w:line="240" w:lineRule="auto"/>
            <w:ind w:left="0" w:leftChars="0" w:right="0" w:rightChars="0" w:firstLine="0" w:firstLineChars="0"/>
            <w:jc w:val="center"/>
          </w:pPr>
          <w:r>
            <w:fldChar w:fldCharType="end"/>
          </w:r>
        </w:p>
      </w:sdtContent>
    </w:sdt>
    <w:p>
      <w:pPr>
        <w:pStyle w:val="3"/>
        <w:jc w:val="center"/>
        <w:rPr>
          <w:rFonts w:hint="eastAsia" w:ascii="黑体" w:hAnsi="黑体" w:eastAsia="黑体"/>
          <w:b w:val="0"/>
          <w:color w:val="auto"/>
          <w:highlight w:val="none"/>
        </w:rPr>
        <w:sectPr>
          <w:footerReference r:id="rId6" w:type="first"/>
          <w:footerReference r:id="rId5" w:type="default"/>
          <w:pgSz w:w="11906" w:h="16838"/>
          <w:pgMar w:top="1440" w:right="1800" w:bottom="1440" w:left="1800" w:header="851" w:footer="992" w:gutter="0"/>
          <w:pgNumType w:fmt="numberInDash" w:start="1"/>
          <w:cols w:space="425" w:num="1"/>
          <w:titlePg/>
          <w:docGrid w:type="lines" w:linePitch="312" w:charSpace="0"/>
        </w:sectPr>
      </w:pPr>
      <w:bookmarkStart w:id="20" w:name="_Toc17669"/>
    </w:p>
    <w:p>
      <w:pPr>
        <w:pStyle w:val="3"/>
        <w:jc w:val="center"/>
        <w:rPr>
          <w:rStyle w:val="29"/>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9"/>
          <w:rFonts w:hint="eastAsia" w:ascii="黑体" w:hAnsi="黑体" w:eastAsia="黑体"/>
          <w:b w:val="0"/>
          <w:bCs w:val="0"/>
          <w:color w:val="auto"/>
          <w:highlight w:val="none"/>
        </w:rPr>
        <w:t>概况</w:t>
      </w:r>
      <w:bookmarkEnd w:id="18"/>
      <w:bookmarkEnd w:id="19"/>
      <w:bookmarkEnd w:id="20"/>
    </w:p>
    <w:p>
      <w:pPr>
        <w:widowControl/>
        <w:jc w:val="left"/>
        <w:rPr>
          <w:rFonts w:ascii="黑体" w:eastAsia="黑体"/>
          <w:color w:val="auto"/>
          <w:sz w:val="32"/>
          <w:szCs w:val="32"/>
          <w:highlight w:val="none"/>
        </w:rPr>
      </w:pPr>
    </w:p>
    <w:p>
      <w:pPr>
        <w:pStyle w:val="4"/>
        <w:keepNext/>
        <w:keepLines/>
        <w:pageBreakBefore w:val="0"/>
        <w:widowControl w:val="0"/>
        <w:numPr>
          <w:ilvl w:val="0"/>
          <w:numId w:val="1"/>
        </w:numPr>
        <w:kinsoku/>
        <w:wordWrap/>
        <w:overflowPunct/>
        <w:topLinePunct w:val="0"/>
        <w:autoSpaceDE/>
        <w:autoSpaceDN/>
        <w:bidi w:val="0"/>
        <w:adjustRightInd/>
        <w:snapToGrid/>
        <w:spacing w:before="0" w:after="0" w:line="416" w:lineRule="auto"/>
        <w:ind w:firstLine="640" w:firstLineChars="200"/>
        <w:textAlignment w:val="auto"/>
        <w:rPr>
          <w:rStyle w:val="30"/>
          <w:rFonts w:hint="eastAsia" w:ascii="黑体" w:hAnsi="黑体" w:eastAsia="黑体"/>
          <w:b w:val="0"/>
          <w:bCs w:val="0"/>
          <w:color w:val="auto"/>
          <w:highlight w:val="none"/>
          <w:lang w:eastAsia="zh-CN"/>
        </w:rPr>
      </w:pPr>
      <w:bookmarkStart w:id="21" w:name="_Toc17266"/>
      <w:bookmarkStart w:id="22" w:name="_Toc15396600"/>
      <w:bookmarkStart w:id="23" w:name="_Toc15377197"/>
      <w:r>
        <w:rPr>
          <w:rStyle w:val="30"/>
          <w:rFonts w:hint="eastAsia" w:ascii="黑体" w:hAnsi="黑体" w:eastAsia="黑体"/>
          <w:b w:val="0"/>
          <w:bCs w:val="0"/>
          <w:color w:val="auto"/>
          <w:highlight w:val="none"/>
        </w:rPr>
        <w:t>职能</w:t>
      </w:r>
      <w:r>
        <w:rPr>
          <w:rStyle w:val="30"/>
          <w:rFonts w:hint="eastAsia" w:ascii="黑体" w:hAnsi="黑体" w:eastAsia="黑体"/>
          <w:b w:val="0"/>
          <w:bCs w:val="0"/>
          <w:color w:val="auto"/>
          <w:highlight w:val="none"/>
          <w:lang w:eastAsia="zh-CN"/>
        </w:rPr>
        <w:t>简介</w:t>
      </w:r>
      <w:bookmarkEnd w:id="21"/>
    </w:p>
    <w:p>
      <w:pPr>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四川省人民政府驻厦门办事处（四川省对台经济事务</w:t>
      </w:r>
      <w:r>
        <w:rPr>
          <w:rFonts w:hint="eastAsia" w:ascii="仿宋" w:hAnsi="仿宋" w:eastAsia="仿宋" w:cs="仿宋"/>
          <w:color w:val="000000"/>
          <w:kern w:val="0"/>
          <w:sz w:val="32"/>
          <w:szCs w:val="32"/>
          <w:lang w:val="en-US" w:eastAsia="zh-CN" w:bidi="ar"/>
        </w:rPr>
        <w:t>处）系四川省人民政府的派出机构，主要联系福建、江西和台湾。负责川闽赣台投资促进、经贸往来，以及四川各地市（州）、县（区）与闽赣台的区域合作、平台搭建等工作；负责联系地区的信息调研以及协助四川各级党政机关在闽、赣的政务活动；负责闽、赣地区川籍农民工的维权服务、流动党员教育管理以及劳务输出与回引工作；负责联系指导四川各地市（州）驻闽赣地区机构的党建、团工委工作，联系闽、赣四川商（协）会工作；负责承办省委、省政府和主管部门交办的其他事宜。</w:t>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416" w:lineRule="auto"/>
        <w:ind w:firstLine="640" w:firstLineChars="200"/>
        <w:textAlignment w:val="auto"/>
        <w:rPr>
          <w:rFonts w:hint="eastAsia" w:ascii="黑体" w:hAnsi="黑体" w:eastAsia="黑体"/>
          <w:b w:val="0"/>
          <w:color w:val="auto"/>
          <w:highlight w:val="none"/>
          <w:lang w:eastAsia="zh-CN"/>
        </w:rPr>
      </w:pPr>
      <w:bookmarkStart w:id="24" w:name="_Toc22124"/>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22"/>
      <w:bookmarkEnd w:id="23"/>
      <w:r>
        <w:rPr>
          <w:rFonts w:hint="eastAsia" w:ascii="黑体" w:hAnsi="黑体" w:eastAsia="黑体"/>
          <w:b w:val="0"/>
          <w:color w:val="auto"/>
          <w:highlight w:val="none"/>
          <w:lang w:eastAsia="zh-CN"/>
        </w:rPr>
        <w:t>完成情况</w:t>
      </w:r>
      <w:bookmarkEnd w:id="24"/>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Style w:val="19"/>
          <w:rFonts w:hint="eastAsia" w:ascii="楷体_GB2312" w:hAnsi="楷体_GB2312" w:eastAsia="楷体_GB2312" w:cs="楷体_GB2312"/>
          <w:b w:val="0"/>
          <w:bCs w:val="0"/>
          <w:kern w:val="32"/>
          <w:sz w:val="32"/>
          <w:szCs w:val="32"/>
          <w:lang w:val="en-US" w:eastAsia="zh-CN" w:bidi="ar-SA"/>
        </w:rPr>
        <w:t>（一）利用省级重大平台活动促项目。</w:t>
      </w:r>
      <w:r>
        <w:rPr>
          <w:rStyle w:val="35"/>
          <w:rFonts w:hint="default" w:ascii="Times New Roman" w:hAnsi="Times New Roman" w:eastAsia="仿宋_GB2312" w:cs="Times New Roman"/>
          <w:sz w:val="32"/>
          <w:szCs w:val="32"/>
          <w:lang w:val="en-US" w:eastAsia="zh-CN"/>
        </w:rPr>
        <w:t>以“2021中外知名企业四川行”</w:t>
      </w:r>
      <w:r>
        <w:rPr>
          <w:rStyle w:val="35"/>
          <w:rFonts w:hint="eastAsia" w:ascii="Times New Roman" w:hAnsi="Times New Roman" w:eastAsia="仿宋_GB2312" w:cs="Times New Roman"/>
          <w:sz w:val="32"/>
          <w:szCs w:val="32"/>
          <w:lang w:val="en-US" w:eastAsia="zh-CN"/>
        </w:rPr>
        <w:t>“西博会”</w:t>
      </w:r>
      <w:r>
        <w:rPr>
          <w:rStyle w:val="35"/>
          <w:rFonts w:hint="default" w:ascii="Times New Roman" w:hAnsi="Times New Roman" w:eastAsia="仿宋_GB2312" w:cs="Times New Roman"/>
          <w:sz w:val="32"/>
          <w:szCs w:val="32"/>
          <w:lang w:val="en-US" w:eastAsia="zh-CN"/>
        </w:rPr>
        <w:t>等活动为契机，建立了与闽赣地区46家“三类”500强企业、6家知名跨国公司的联系机制，</w:t>
      </w:r>
      <w:r>
        <w:rPr>
          <w:rFonts w:hint="default" w:ascii="Times New Roman" w:hAnsi="Times New Roman" w:eastAsia="仿宋_GB2312" w:cs="Times New Roman"/>
          <w:sz w:val="32"/>
          <w:szCs w:val="32"/>
          <w:lang w:val="en-US" w:eastAsia="zh-CN"/>
        </w:rPr>
        <w:t>组织和带领</w:t>
      </w:r>
      <w:r>
        <w:rPr>
          <w:rFonts w:hint="eastAsia" w:ascii="Times New Roman" w:hAnsi="Times New Roman" w:eastAsia="仿宋_GB2312" w:cs="Times New Roman"/>
          <w:sz w:val="32"/>
          <w:szCs w:val="32"/>
          <w:lang w:val="en-US" w:eastAsia="zh-CN"/>
        </w:rPr>
        <w:t>200多人</w:t>
      </w:r>
      <w:r>
        <w:rPr>
          <w:rFonts w:hint="default" w:ascii="Times New Roman" w:hAnsi="Times New Roman" w:eastAsia="仿宋_GB2312" w:cs="Times New Roman"/>
          <w:sz w:val="32"/>
          <w:szCs w:val="32"/>
          <w:lang w:val="en-US" w:eastAsia="zh-CN"/>
        </w:rPr>
        <w:t>次</w:t>
      </w:r>
      <w:r>
        <w:rPr>
          <w:rStyle w:val="35"/>
          <w:rFonts w:hint="default" w:ascii="Times New Roman" w:hAnsi="Times New Roman" w:eastAsia="仿宋_GB2312" w:cs="Times New Roman"/>
          <w:sz w:val="32"/>
          <w:szCs w:val="32"/>
          <w:lang w:val="en-US" w:eastAsia="zh-CN"/>
        </w:rPr>
        <w:t>重点意向企业</w:t>
      </w:r>
      <w:r>
        <w:rPr>
          <w:rStyle w:val="35"/>
          <w:rFonts w:hint="eastAsia" w:ascii="Times New Roman" w:hAnsi="Times New Roman" w:eastAsia="仿宋_GB2312" w:cs="Times New Roman"/>
          <w:sz w:val="32"/>
          <w:szCs w:val="32"/>
          <w:lang w:val="en-US" w:eastAsia="zh-CN"/>
        </w:rPr>
        <w:t>代表</w:t>
      </w:r>
      <w:r>
        <w:rPr>
          <w:rStyle w:val="35"/>
          <w:rFonts w:hint="default" w:ascii="Times New Roman" w:hAnsi="Times New Roman" w:eastAsia="仿宋_GB2312" w:cs="Times New Roman"/>
          <w:sz w:val="32"/>
          <w:szCs w:val="32"/>
          <w:lang w:val="en-US" w:eastAsia="zh-CN"/>
        </w:rPr>
        <w:t>前往雅安、内江、眉山、泸州和遂宁等地进行实地考察</w:t>
      </w:r>
      <w:r>
        <w:rPr>
          <w:rStyle w:val="35"/>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color w:val="000000"/>
          <w:sz w:val="32"/>
          <w:szCs w:val="32"/>
          <w:lang w:val="en-US" w:eastAsia="zh-CN"/>
        </w:rPr>
        <w:t>2021年，</w:t>
      </w:r>
      <w:r>
        <w:rPr>
          <w:rFonts w:hint="eastAsia" w:ascii="Times New Roman" w:hAnsi="Times New Roman" w:eastAsia="仿宋_GB2312" w:cs="Times New Roman"/>
          <w:sz w:val="32"/>
          <w:szCs w:val="32"/>
          <w:lang w:val="en-US" w:eastAsia="zh-CN"/>
        </w:rPr>
        <w:t>我办共</w:t>
      </w:r>
      <w:r>
        <w:rPr>
          <w:rFonts w:hint="default" w:ascii="Times New Roman" w:hAnsi="Times New Roman" w:eastAsia="仿宋_GB2312" w:cs="Times New Roman"/>
          <w:sz w:val="32"/>
          <w:szCs w:val="32"/>
          <w:lang w:val="en-US" w:eastAsia="zh-CN"/>
        </w:rPr>
        <w:t>促进签约62个项目，合同资金1078.45亿元，完成全年任务317.45%。其中，促进宁德时代、正威国际、</w:t>
      </w:r>
      <w:r>
        <w:rPr>
          <w:rStyle w:val="35"/>
          <w:rFonts w:hint="default" w:ascii="Times New Roman" w:hAnsi="Times New Roman" w:eastAsia="仿宋_GB2312" w:cs="Times New Roman"/>
          <w:sz w:val="32"/>
          <w:szCs w:val="32"/>
        </w:rPr>
        <w:t>灵玲文旅集团</w:t>
      </w:r>
      <w:r>
        <w:rPr>
          <w:rStyle w:val="35"/>
          <w:rFonts w:hint="default" w:ascii="Times New Roman" w:hAnsi="Times New Roman" w:eastAsia="仿宋_GB2312" w:cs="Times New Roman"/>
          <w:sz w:val="32"/>
          <w:szCs w:val="32"/>
          <w:lang w:val="en-US" w:eastAsia="zh-CN"/>
        </w:rPr>
        <w:t>等在川投资100亿元以上项目6个，</w:t>
      </w:r>
      <w:r>
        <w:rPr>
          <w:rFonts w:hint="default" w:ascii="Times New Roman" w:hAnsi="Times New Roman" w:eastAsia="仿宋_GB2312" w:cs="Times New Roman"/>
          <w:sz w:val="32"/>
          <w:szCs w:val="32"/>
          <w:lang w:val="en-US" w:eastAsia="zh-CN"/>
        </w:rPr>
        <w:t>促进正邦集团、</w:t>
      </w:r>
      <w:r>
        <w:rPr>
          <w:rFonts w:hint="default" w:ascii="Times New Roman" w:hAnsi="Times New Roman" w:eastAsia="仿宋_GB2312" w:cs="Times New Roman"/>
          <w:sz w:val="32"/>
          <w:szCs w:val="32"/>
        </w:rPr>
        <w:t>宏发</w:t>
      </w:r>
      <w:r>
        <w:rPr>
          <w:rFonts w:hint="default" w:ascii="Times New Roman" w:hAnsi="Times New Roman" w:eastAsia="仿宋_GB2312" w:cs="Times New Roman"/>
          <w:sz w:val="32"/>
          <w:szCs w:val="32"/>
          <w:lang w:val="en-US" w:eastAsia="zh-CN"/>
        </w:rPr>
        <w:t>股份等在川投资</w:t>
      </w:r>
      <w:r>
        <w:rPr>
          <w:rFonts w:hint="default" w:ascii="Times New Roman" w:hAnsi="Times New Roman" w:eastAsia="仿宋_GB2312" w:cs="Times New Roman"/>
          <w:sz w:val="32"/>
          <w:szCs w:val="32"/>
        </w:rPr>
        <w:t>30-50亿元项目4个</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促进</w:t>
      </w:r>
      <w:r>
        <w:rPr>
          <w:rFonts w:hint="default" w:ascii="Times New Roman" w:hAnsi="Times New Roman" w:eastAsia="仿宋_GB2312" w:cs="Times New Roman"/>
          <w:sz w:val="32"/>
          <w:szCs w:val="32"/>
        </w:rPr>
        <w:t>10-30亿元项目12个。</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Style w:val="35"/>
          <w:rFonts w:hint="default" w:ascii="Times New Roman" w:hAnsi="Times New Roman" w:eastAsia="仿宋_GB2312" w:cs="Times New Roman"/>
          <w:sz w:val="32"/>
          <w:szCs w:val="32"/>
          <w:lang w:val="en-US" w:eastAsia="zh-CN"/>
        </w:rPr>
      </w:pPr>
      <w:r>
        <w:rPr>
          <w:rStyle w:val="35"/>
          <w:rFonts w:hint="eastAsia" w:ascii="Times New Roman" w:hAnsi="Times New Roman" w:eastAsia="仿宋_GB2312" w:cs="Times New Roman"/>
          <w:sz w:val="32"/>
          <w:szCs w:val="32"/>
          <w:lang w:val="en-US" w:eastAsia="zh-CN"/>
        </w:rPr>
        <w:t>（二）率先</w:t>
      </w:r>
      <w:r>
        <w:rPr>
          <w:rStyle w:val="35"/>
          <w:rFonts w:hint="default" w:ascii="Times New Roman" w:hAnsi="Times New Roman" w:eastAsia="仿宋_GB2312" w:cs="Times New Roman"/>
          <w:sz w:val="32"/>
          <w:szCs w:val="32"/>
          <w:lang w:val="en-US" w:eastAsia="zh-CN"/>
        </w:rPr>
        <w:t>在省外举办成渝双城经济圈推介会。RCEP成员国侨商协会会长，川商、渝商代表，重庆市商务委，四川省发改委、经信厅、省经合局，遂宁市，自贸区川南片区，重庆市潼南区、江津综保区，川渝高竹新区等共计200余人参加活动。此次活动率先向RCEP成员国侨商代表推介“双城圈”情况，取得了良好开端。会后，组织侨商会长参加2021年侨界菁英川渝汇，并赴成都东部新区、万达开川渝统筹发展示范区进行实地考察。</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val="en-US" w:eastAsia="zh-CN"/>
        </w:rPr>
        <w:t>联合行业主管部门实施精准招商。</w:t>
      </w:r>
      <w:r>
        <w:rPr>
          <w:rFonts w:hint="default" w:ascii="Times New Roman" w:hAnsi="Times New Roman" w:eastAsia="仿宋_GB2312" w:cs="Times New Roman"/>
          <w:color w:val="000000"/>
          <w:sz w:val="32"/>
          <w:szCs w:val="32"/>
          <w:lang w:val="en-US" w:eastAsia="zh-CN"/>
        </w:rPr>
        <w:t>联合省经合局、省物流与口岸办在厦门共同举办四川（福建）现代物流产业投资推介会，</w:t>
      </w:r>
      <w:r>
        <w:rPr>
          <w:rFonts w:hint="default" w:ascii="Times New Roman" w:hAnsi="Times New Roman" w:eastAsia="仿宋_GB2312" w:cs="Times New Roman"/>
          <w:sz w:val="32"/>
          <w:szCs w:val="32"/>
          <w:lang w:val="en-US" w:eastAsia="zh-CN"/>
        </w:rPr>
        <w:t>联合省文旅厅在福州举办“清凉天府·安逸四川”为主题的四川文化旅游推介会，联合省人社厅共同举办</w:t>
      </w:r>
      <w:r>
        <w:rPr>
          <w:rFonts w:hint="default" w:ascii="Times New Roman" w:hAnsi="Times New Roman" w:eastAsia="仿宋_GB2312" w:cs="Times New Roman"/>
          <w:sz w:val="32"/>
          <w:szCs w:val="32"/>
        </w:rPr>
        <w:t>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雁归天府 共创未来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为主题的四川省2021年农民工及企业家返乡入乡创业项目（</w:t>
      </w:r>
      <w:r>
        <w:rPr>
          <w:rFonts w:hint="default" w:ascii="Times New Roman" w:hAnsi="Times New Roman" w:eastAsia="仿宋_GB2312" w:cs="Times New Roman"/>
          <w:sz w:val="32"/>
          <w:szCs w:val="32"/>
          <w:lang w:val="en-US" w:eastAsia="zh-CN"/>
        </w:rPr>
        <w:t>福州</w:t>
      </w:r>
      <w:r>
        <w:rPr>
          <w:rFonts w:hint="default" w:ascii="Times New Roman" w:hAnsi="Times New Roman" w:eastAsia="仿宋_GB2312" w:cs="Times New Roman"/>
          <w:sz w:val="32"/>
          <w:szCs w:val="32"/>
        </w:rPr>
        <w:t>）推介活动。</w:t>
      </w:r>
      <w:r>
        <w:rPr>
          <w:rFonts w:hint="default" w:ascii="Times New Roman" w:hAnsi="Times New Roman" w:eastAsia="仿宋_GB2312" w:cs="Times New Roman"/>
          <w:sz w:val="32"/>
          <w:szCs w:val="32"/>
          <w:lang w:val="en-US" w:eastAsia="zh-CN"/>
        </w:rPr>
        <w:t>通过举办活动，获取了一批投资信息</w:t>
      </w:r>
      <w:r>
        <w:rPr>
          <w:rFonts w:hint="eastAsia" w:ascii="Times New Roman" w:hAnsi="Times New Roman" w:eastAsia="仿宋_GB2312" w:cs="Times New Roman"/>
          <w:sz w:val="32"/>
          <w:szCs w:val="32"/>
          <w:lang w:val="en-US" w:eastAsia="zh-CN"/>
        </w:rPr>
        <w:t>，储备了一批优质</w:t>
      </w:r>
      <w:r>
        <w:rPr>
          <w:rFonts w:hint="default" w:ascii="Times New Roman" w:hAnsi="Times New Roman" w:eastAsia="仿宋_GB2312" w:cs="Times New Roman"/>
          <w:sz w:val="32"/>
          <w:szCs w:val="32"/>
          <w:lang w:val="en-US" w:eastAsia="zh-CN"/>
        </w:rPr>
        <w:t>项目。</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（四）认真开展</w:t>
      </w:r>
      <w:r>
        <w:rPr>
          <w:rFonts w:hint="eastAsia" w:ascii="仿宋_GB2312" w:hAnsi="宋体" w:eastAsia="仿宋_GB2312" w:cs="仿宋_GB2312"/>
          <w:kern w:val="0"/>
          <w:sz w:val="31"/>
          <w:szCs w:val="31"/>
          <w:lang w:eastAsia="zh-CN" w:bidi="ar"/>
        </w:rPr>
        <w:t>“进千企、解难题、搞服务、促发展”专项活动。</w:t>
      </w:r>
      <w:r>
        <w:rPr>
          <w:rFonts w:hint="default" w:ascii="Times New Roman" w:hAnsi="Times New Roman" w:eastAsia="仿宋_GB2312" w:cs="Times New Roman"/>
          <w:sz w:val="32"/>
          <w:szCs w:val="32"/>
          <w:lang w:val="en-US" w:eastAsia="zh-CN"/>
        </w:rPr>
        <w:t>厦门办先后深入52家企业扎实开展“五问五帮”，累计帮助企业解决困难问题10个、剩余5个问题正在抓紧办理，获取企业增资意向10个。</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（五）深化区域经济合作。</w:t>
      </w:r>
      <w:r>
        <w:rPr>
          <w:rFonts w:hint="default" w:ascii="Times New Roman" w:hAnsi="Times New Roman" w:eastAsia="仿宋_GB2312" w:cs="Times New Roman"/>
          <w:sz w:val="32"/>
          <w:szCs w:val="32"/>
        </w:rPr>
        <w:t>主动对接川闽</w:t>
      </w:r>
      <w:r>
        <w:rPr>
          <w:rFonts w:hint="default" w:ascii="Times New Roman" w:hAnsi="Times New Roman" w:eastAsia="仿宋_GB2312" w:cs="Times New Roman"/>
          <w:sz w:val="32"/>
          <w:szCs w:val="32"/>
          <w:lang w:val="en-US" w:eastAsia="zh-CN"/>
        </w:rPr>
        <w:t>两省</w:t>
      </w:r>
      <w:r>
        <w:rPr>
          <w:rFonts w:hint="default" w:ascii="Times New Roman" w:hAnsi="Times New Roman" w:eastAsia="仿宋_GB2312" w:cs="Times New Roman"/>
          <w:sz w:val="32"/>
          <w:szCs w:val="32"/>
        </w:rPr>
        <w:t>发改委、商务厅、文旅厅、台办、国资委</w:t>
      </w:r>
      <w:r>
        <w:rPr>
          <w:rFonts w:hint="default"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推动相关部门</w:t>
      </w:r>
      <w:r>
        <w:rPr>
          <w:rFonts w:hint="default" w:ascii="Times New Roman" w:hAnsi="Times New Roman" w:eastAsia="仿宋_GB2312" w:cs="Times New Roman"/>
          <w:sz w:val="32"/>
          <w:szCs w:val="32"/>
        </w:rPr>
        <w:t>向省经合局、发改委提交了《关于进一步深化川闽区域合作的建议》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汇报闽赣台区域企业赴川投资发展情况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加强与各地市州县党委、政府和</w:t>
      </w:r>
      <w:r>
        <w:rPr>
          <w:rFonts w:hint="default" w:ascii="Times New Roman" w:hAnsi="Times New Roman" w:eastAsia="仿宋_GB2312" w:cs="Times New Roman"/>
          <w:sz w:val="32"/>
          <w:szCs w:val="32"/>
          <w:lang w:val="en-US" w:eastAsia="zh-CN"/>
        </w:rPr>
        <w:t>经合部门联系</w:t>
      </w:r>
      <w:r>
        <w:rPr>
          <w:rFonts w:hint="default" w:ascii="Times New Roman" w:hAnsi="Times New Roman" w:eastAsia="仿宋_GB2312" w:cs="Times New Roman"/>
          <w:sz w:val="32"/>
          <w:szCs w:val="32"/>
        </w:rPr>
        <w:t>，互通信息，紧扣产业合作发展重点，以联络平台拓宽工作面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进一步</w:t>
      </w:r>
      <w:r>
        <w:rPr>
          <w:rFonts w:hint="default" w:ascii="Times New Roman" w:hAnsi="Times New Roman" w:eastAsia="仿宋_GB2312" w:cs="Times New Roman"/>
          <w:sz w:val="32"/>
          <w:szCs w:val="32"/>
          <w:lang w:eastAsia="zh-CN"/>
        </w:rPr>
        <w:t>完善</w:t>
      </w:r>
      <w:r>
        <w:rPr>
          <w:rFonts w:hint="default" w:ascii="Times New Roman" w:hAnsi="Times New Roman" w:eastAsia="仿宋_GB2312" w:cs="Times New Roman"/>
          <w:sz w:val="32"/>
          <w:szCs w:val="32"/>
        </w:rPr>
        <w:t>川闽区域合作机制</w:t>
      </w:r>
      <w:r>
        <w:rPr>
          <w:rFonts w:hint="default" w:ascii="Times New Roman" w:hAnsi="Times New Roman" w:eastAsia="仿宋_GB2312" w:cs="Times New Roman"/>
          <w:sz w:val="32"/>
          <w:szCs w:val="32"/>
          <w:lang w:eastAsia="zh-CN"/>
        </w:rPr>
        <w:t>，推进</w:t>
      </w:r>
      <w:r>
        <w:rPr>
          <w:rFonts w:hint="default" w:ascii="Times New Roman" w:hAnsi="Times New Roman" w:eastAsia="仿宋_GB2312" w:cs="Times New Roman"/>
          <w:sz w:val="32"/>
          <w:szCs w:val="32"/>
        </w:rPr>
        <w:t>川闽自贸</w:t>
      </w:r>
      <w:r>
        <w:rPr>
          <w:rFonts w:hint="default" w:ascii="Times New Roman" w:hAnsi="Times New Roman" w:eastAsia="仿宋_GB2312" w:cs="Times New Roman"/>
          <w:sz w:val="32"/>
          <w:szCs w:val="32"/>
          <w:lang w:val="en-US" w:eastAsia="zh-CN"/>
        </w:rPr>
        <w:t>试验</w:t>
      </w:r>
      <w:r>
        <w:rPr>
          <w:rFonts w:hint="default" w:ascii="Times New Roman" w:hAnsi="Times New Roman" w:eastAsia="仿宋_GB2312" w:cs="Times New Roman"/>
          <w:sz w:val="32"/>
          <w:szCs w:val="32"/>
        </w:rPr>
        <w:t>区合作对接</w:t>
      </w:r>
      <w:r>
        <w:rPr>
          <w:rFonts w:hint="default" w:ascii="Times New Roman" w:hAnsi="Times New Roman" w:eastAsia="仿宋_GB2312" w:cs="Times New Roman"/>
          <w:sz w:val="32"/>
          <w:szCs w:val="32"/>
          <w:lang w:val="en-US" w:eastAsia="zh-CN"/>
        </w:rPr>
        <w:t>和两省国资委、国企合作对接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促进一批新能源、新材料、装备制造及鞋服</w:t>
      </w:r>
      <w:r>
        <w:rPr>
          <w:rFonts w:hint="default" w:ascii="Times New Roman" w:hAnsi="Times New Roman" w:eastAsia="仿宋_GB2312" w:cs="Times New Roman"/>
          <w:sz w:val="32"/>
          <w:szCs w:val="32"/>
        </w:rPr>
        <w:t>食品饮料</w:t>
      </w:r>
      <w:r>
        <w:rPr>
          <w:rFonts w:hint="default"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产业合作</w:t>
      </w:r>
      <w:r>
        <w:rPr>
          <w:rFonts w:hint="default" w:ascii="Times New Roman" w:hAnsi="Times New Roman" w:eastAsia="仿宋_GB2312" w:cs="Times New Roman"/>
          <w:sz w:val="32"/>
          <w:szCs w:val="32"/>
          <w:lang w:val="en-US" w:eastAsia="zh-CN"/>
        </w:rPr>
        <w:t>项目落地。</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（六）重点</w:t>
      </w:r>
      <w:r>
        <w:rPr>
          <w:rFonts w:hint="default" w:ascii="Times New Roman" w:hAnsi="Times New Roman" w:eastAsia="仿宋_GB2312" w:cs="Times New Roman"/>
          <w:sz w:val="32"/>
          <w:szCs w:val="32"/>
          <w:lang w:eastAsia="zh-CN"/>
        </w:rPr>
        <w:t>把握台商资源。主动拜访</w:t>
      </w:r>
      <w:r>
        <w:rPr>
          <w:rFonts w:hint="eastAsia" w:ascii="Times New Roman" w:hAnsi="Times New Roman" w:eastAsia="仿宋_GB2312" w:cs="Times New Roman"/>
          <w:sz w:val="32"/>
          <w:szCs w:val="32"/>
          <w:lang w:val="en-US" w:eastAsia="zh-CN"/>
        </w:rPr>
        <w:t>川闽两省</w:t>
      </w:r>
      <w:r>
        <w:rPr>
          <w:rFonts w:hint="default" w:ascii="Times New Roman" w:hAnsi="Times New Roman" w:eastAsia="仿宋_GB2312" w:cs="Times New Roman"/>
          <w:sz w:val="32"/>
          <w:szCs w:val="32"/>
          <w:lang w:eastAsia="zh-CN"/>
        </w:rPr>
        <w:t>各级台办，掌握</w:t>
      </w:r>
      <w:r>
        <w:rPr>
          <w:rFonts w:hint="eastAsia" w:ascii="Times New Roman" w:hAnsi="Times New Roman" w:eastAsia="仿宋_GB2312" w:cs="Times New Roman"/>
          <w:sz w:val="32"/>
          <w:szCs w:val="32"/>
          <w:lang w:val="en-US" w:eastAsia="zh-CN"/>
        </w:rPr>
        <w:t>在川、</w:t>
      </w:r>
      <w:r>
        <w:rPr>
          <w:rFonts w:hint="default" w:ascii="Times New Roman" w:hAnsi="Times New Roman" w:eastAsia="仿宋_GB2312" w:cs="Times New Roman"/>
          <w:sz w:val="32"/>
          <w:szCs w:val="32"/>
          <w:lang w:eastAsia="zh-CN"/>
        </w:rPr>
        <w:t>在闽台资企业情况，</w:t>
      </w:r>
      <w:r>
        <w:rPr>
          <w:rFonts w:hint="eastAsia" w:ascii="Times New Roman" w:hAnsi="Times New Roman" w:eastAsia="仿宋_GB2312" w:cs="Times New Roman"/>
          <w:sz w:val="32"/>
          <w:szCs w:val="32"/>
          <w:lang w:val="en-US" w:eastAsia="zh-CN"/>
        </w:rPr>
        <w:t>围绕川闽</w:t>
      </w:r>
      <w:r>
        <w:rPr>
          <w:rFonts w:hint="default" w:ascii="Times New Roman" w:hAnsi="Times New Roman" w:eastAsia="仿宋_GB2312" w:cs="Times New Roman"/>
          <w:sz w:val="32"/>
          <w:szCs w:val="32"/>
          <w:lang w:eastAsia="zh-CN"/>
        </w:rPr>
        <w:t>两地台商、闽商、川商、及闽川台商产业园、台湾农民创业园等园区</w:t>
      </w:r>
      <w:r>
        <w:rPr>
          <w:rFonts w:hint="eastAsia" w:ascii="Times New Roman" w:hAnsi="Times New Roman" w:eastAsia="仿宋_GB2312" w:cs="Times New Roman"/>
          <w:sz w:val="32"/>
          <w:szCs w:val="32"/>
          <w:lang w:val="en-US" w:eastAsia="zh-CN"/>
        </w:rPr>
        <w:t>多次</w:t>
      </w:r>
      <w:r>
        <w:rPr>
          <w:rFonts w:hint="default" w:ascii="Times New Roman" w:hAnsi="Times New Roman" w:eastAsia="仿宋_GB2312" w:cs="Times New Roman"/>
          <w:sz w:val="32"/>
          <w:szCs w:val="32"/>
          <w:lang w:eastAsia="zh-CN"/>
        </w:rPr>
        <w:t>在福州</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厦门</w:t>
      </w:r>
      <w:r>
        <w:rPr>
          <w:rFonts w:hint="default" w:ascii="Times New Roman" w:hAnsi="Times New Roman" w:eastAsia="仿宋_GB2312" w:cs="Times New Roman"/>
          <w:sz w:val="32"/>
          <w:szCs w:val="32"/>
          <w:lang w:eastAsia="zh-CN"/>
        </w:rPr>
        <w:t>开展台商投资座谈会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全年组织和参与</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val="en-US" w:eastAsia="zh-CN"/>
        </w:rPr>
        <w:t>余次台商重要活动</w:t>
      </w:r>
      <w:r>
        <w:rPr>
          <w:rFonts w:hint="eastAsia" w:ascii="Times New Roman" w:hAnsi="Times New Roman" w:eastAsia="仿宋_GB2312" w:cs="Times New Roman"/>
          <w:sz w:val="32"/>
          <w:szCs w:val="32"/>
          <w:lang w:val="en-US" w:eastAsia="zh-CN"/>
        </w:rPr>
        <w:t>。</w:t>
      </w:r>
    </w:p>
    <w:p>
      <w:pPr>
        <w:keepNext w:val="0"/>
        <w:keepLines w:val="0"/>
        <w:widowControl/>
        <w:suppressLineNumbers w:val="0"/>
        <w:ind w:firstLine="640" w:firstLineChars="200"/>
        <w:jc w:val="left"/>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lang w:val="en-US" w:eastAsia="zh-CN"/>
        </w:rPr>
        <w:t>办好“</w:t>
      </w:r>
      <w:r>
        <w:rPr>
          <w:rFonts w:hint="eastAsia" w:ascii="Times New Roman" w:hAnsi="Times New Roman" w:eastAsia="仿宋_GB2312" w:cs="Times New Roman"/>
          <w:sz w:val="32"/>
          <w:szCs w:val="32"/>
          <w:lang w:val="en-US" w:eastAsia="zh-CN"/>
        </w:rPr>
        <w:t>四川</w:t>
      </w:r>
      <w:r>
        <w:rPr>
          <w:rFonts w:hint="default" w:ascii="Times New Roman" w:hAnsi="Times New Roman" w:eastAsia="仿宋_GB2312" w:cs="Times New Roman"/>
          <w:sz w:val="32"/>
          <w:szCs w:val="32"/>
          <w:lang w:val="en-US" w:eastAsia="zh-CN"/>
        </w:rPr>
        <w:t>南向</w:t>
      </w:r>
      <w:r>
        <w:rPr>
          <w:rFonts w:hint="eastAsia" w:ascii="Times New Roman" w:hAnsi="Times New Roman" w:eastAsia="仿宋_GB2312" w:cs="Times New Roman"/>
          <w:sz w:val="32"/>
          <w:szCs w:val="32"/>
          <w:lang w:val="en-US" w:eastAsia="zh-CN"/>
        </w:rPr>
        <w:t>发展大</w:t>
      </w:r>
      <w:r>
        <w:rPr>
          <w:rFonts w:hint="default" w:ascii="Times New Roman" w:hAnsi="Times New Roman" w:eastAsia="仿宋_GB2312" w:cs="Times New Roman"/>
          <w:sz w:val="32"/>
          <w:szCs w:val="32"/>
          <w:lang w:val="en-US" w:eastAsia="zh-CN"/>
        </w:rPr>
        <w:t>会”</w:t>
      </w:r>
      <w:r>
        <w:rPr>
          <w:rFonts w:hint="default" w:ascii="Times New Roman" w:hAnsi="Times New Roman" w:eastAsia="仿宋_GB2312" w:cs="Times New Roman"/>
          <w:sz w:val="32"/>
          <w:szCs w:val="32"/>
          <w:lang w:eastAsia="zh-CN"/>
        </w:rPr>
        <w:t>。充分发挥福建独有的地缘优势、人才优势、资源优势和信息优势，积极寻找四川承接</w:t>
      </w:r>
      <w:r>
        <w:rPr>
          <w:rFonts w:hint="default" w:ascii="Times New Roman" w:hAnsi="Times New Roman" w:eastAsia="仿宋_GB2312" w:cs="Times New Roman"/>
          <w:sz w:val="32"/>
          <w:szCs w:val="32"/>
          <w:lang w:val="en-US" w:eastAsia="zh-CN"/>
        </w:rPr>
        <w:t>海外和闽台地区</w:t>
      </w:r>
      <w:r>
        <w:rPr>
          <w:rFonts w:hint="default" w:ascii="Times New Roman" w:hAnsi="Times New Roman" w:eastAsia="仿宋_GB2312" w:cs="Times New Roman"/>
          <w:sz w:val="32"/>
          <w:szCs w:val="32"/>
          <w:lang w:eastAsia="zh-CN"/>
        </w:rPr>
        <w:t>产业转移的契合点，</w:t>
      </w:r>
      <w:r>
        <w:rPr>
          <w:rFonts w:hint="default" w:ascii="Times New Roman" w:hAnsi="Times New Roman" w:eastAsia="仿宋_GB2312" w:cs="Times New Roman"/>
          <w:color w:val="000000"/>
          <w:sz w:val="32"/>
          <w:szCs w:val="32"/>
          <w:lang w:val="en-US" w:eastAsia="zh-CN"/>
        </w:rPr>
        <w:t>以</w:t>
      </w:r>
      <w:r>
        <w:rPr>
          <w:rStyle w:val="35"/>
          <w:rFonts w:hint="default" w:ascii="Times New Roman" w:hAnsi="Times New Roman" w:eastAsia="仿宋_GB2312" w:cs="Times New Roman"/>
          <w:sz w:val="32"/>
          <w:szCs w:val="32"/>
          <w:lang w:val="en-US" w:eastAsia="zh-CN"/>
        </w:rPr>
        <w:t>“西博会”活动为契机，</w:t>
      </w:r>
      <w:r>
        <w:rPr>
          <w:rFonts w:hint="default" w:ascii="Times New Roman" w:hAnsi="Times New Roman" w:eastAsia="仿宋_GB2312" w:cs="Times New Roman"/>
          <w:color w:val="000000"/>
          <w:sz w:val="32"/>
          <w:szCs w:val="32"/>
          <w:lang w:val="en-US" w:eastAsia="zh-CN"/>
        </w:rPr>
        <w:t>联合四川省贸促会在成都承办了第十一届中国（四川）</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南亚东南亚国家工商领袖峰会暨四川第三届南向开放国际合作对接会，戴林莉主任就“四川南向开放合作政策和机遇”作了主题发言。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（八）</w:t>
      </w:r>
      <w:r>
        <w:rPr>
          <w:rFonts w:hint="default" w:ascii="Times New Roman" w:hAnsi="Times New Roman" w:eastAsia="仿宋_GB2312" w:cs="Times New Roman"/>
          <w:sz w:val="32"/>
          <w:szCs w:val="32"/>
          <w:lang w:val="en-US" w:eastAsia="zh-CN"/>
        </w:rPr>
        <w:t>建立常态化维权机制。全年</w:t>
      </w:r>
      <w:r>
        <w:rPr>
          <w:rFonts w:hint="default" w:ascii="Times New Roman" w:hAnsi="Times New Roman" w:eastAsia="仿宋_GB2312" w:cs="Times New Roman"/>
          <w:sz w:val="32"/>
          <w:szCs w:val="32"/>
        </w:rPr>
        <w:t>累计受理投诉咨询案件133起，办结121起，12起正在跟踪处理中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如</w:t>
      </w:r>
      <w:r>
        <w:rPr>
          <w:rFonts w:hint="default" w:ascii="Times New Roman" w:hAnsi="Times New Roman" w:eastAsia="仿宋_GB2312" w:cs="Times New Roman"/>
          <w:sz w:val="32"/>
          <w:szCs w:val="32"/>
        </w:rPr>
        <w:t>协调厦门市</w:t>
      </w:r>
      <w:r>
        <w:rPr>
          <w:rFonts w:hint="default" w:ascii="Times New Roman" w:hAnsi="Times New Roman" w:eastAsia="仿宋_GB2312" w:cs="Times New Roman"/>
          <w:sz w:val="32"/>
          <w:szCs w:val="32"/>
          <w:lang w:val="en-US" w:eastAsia="zh-CN"/>
        </w:rPr>
        <w:t>公安局</w:t>
      </w:r>
      <w:r>
        <w:rPr>
          <w:rFonts w:hint="default" w:ascii="Times New Roman" w:hAnsi="Times New Roman" w:eastAsia="仿宋_GB2312" w:cs="Times New Roman"/>
          <w:sz w:val="32"/>
          <w:szCs w:val="32"/>
        </w:rPr>
        <w:t>和雷波县政府，将滞留厦门</w:t>
      </w:r>
      <w:r>
        <w:rPr>
          <w:rFonts w:hint="default" w:ascii="Times New Roman" w:hAnsi="Times New Roman" w:eastAsia="仿宋_GB2312" w:cs="Times New Roman"/>
          <w:sz w:val="32"/>
          <w:szCs w:val="32"/>
          <w:lang w:eastAsia="zh-CN"/>
        </w:rPr>
        <w:t>怀</w:t>
      </w:r>
      <w:r>
        <w:rPr>
          <w:rFonts w:hint="default" w:ascii="Times New Roman" w:hAnsi="Times New Roman" w:eastAsia="仿宋_GB2312" w:cs="Times New Roman"/>
          <w:sz w:val="32"/>
          <w:szCs w:val="32"/>
          <w:lang w:val="en-US" w:eastAsia="zh-CN"/>
        </w:rPr>
        <w:t>有身</w:t>
      </w:r>
      <w:r>
        <w:rPr>
          <w:rFonts w:hint="default" w:ascii="Times New Roman" w:hAnsi="Times New Roman" w:eastAsia="仿宋_GB2312" w:cs="Times New Roman"/>
          <w:sz w:val="32"/>
          <w:szCs w:val="32"/>
          <w:lang w:eastAsia="zh-CN"/>
        </w:rPr>
        <w:t>孕</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彝族</w:t>
      </w:r>
      <w:r>
        <w:rPr>
          <w:rFonts w:hint="default" w:ascii="Times New Roman" w:hAnsi="Times New Roman" w:eastAsia="仿宋_GB2312" w:cs="Times New Roman"/>
          <w:sz w:val="32"/>
          <w:szCs w:val="32"/>
          <w:lang w:eastAsia="zh-CN"/>
        </w:rPr>
        <w:t>农民工</w:t>
      </w:r>
      <w:r>
        <w:rPr>
          <w:rFonts w:hint="default" w:ascii="Times New Roman" w:hAnsi="Times New Roman" w:eastAsia="仿宋_GB2312" w:cs="Times New Roman"/>
          <w:sz w:val="32"/>
          <w:szCs w:val="32"/>
        </w:rPr>
        <w:t>安全送回雷波。协调</w:t>
      </w:r>
      <w:r>
        <w:rPr>
          <w:rFonts w:hint="default"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rPr>
        <w:t>部门</w:t>
      </w:r>
      <w:r>
        <w:rPr>
          <w:rFonts w:hint="default" w:ascii="Times New Roman" w:hAnsi="Times New Roman" w:eastAsia="仿宋_GB2312" w:cs="Times New Roman"/>
          <w:sz w:val="32"/>
          <w:szCs w:val="32"/>
          <w:lang w:val="en-US" w:eastAsia="zh-CN"/>
        </w:rPr>
        <w:t>，妥善处理</w:t>
      </w:r>
      <w:r>
        <w:rPr>
          <w:rFonts w:hint="default" w:ascii="Times New Roman" w:hAnsi="Times New Roman" w:eastAsia="仿宋_GB2312" w:cs="Times New Roman"/>
          <w:sz w:val="32"/>
          <w:szCs w:val="32"/>
        </w:rPr>
        <w:t>青白江来厦务工的刘艳勇</w:t>
      </w:r>
      <w:r>
        <w:rPr>
          <w:rFonts w:hint="default" w:ascii="Times New Roman" w:hAnsi="Times New Roman" w:eastAsia="仿宋_GB2312" w:cs="Times New Roman"/>
          <w:sz w:val="32"/>
          <w:szCs w:val="32"/>
          <w:lang w:val="en-US" w:eastAsia="zh-CN"/>
        </w:rPr>
        <w:t>交通</w:t>
      </w:r>
      <w:r>
        <w:rPr>
          <w:rFonts w:hint="default" w:ascii="Times New Roman" w:hAnsi="Times New Roman" w:eastAsia="仿宋_GB2312" w:cs="Times New Roman"/>
          <w:sz w:val="32"/>
          <w:szCs w:val="32"/>
        </w:rPr>
        <w:t>死亡</w:t>
      </w:r>
      <w:r>
        <w:rPr>
          <w:rFonts w:hint="default" w:ascii="Times New Roman" w:hAnsi="Times New Roman" w:eastAsia="仿宋_GB2312" w:cs="Times New Roman"/>
          <w:sz w:val="32"/>
          <w:szCs w:val="32"/>
          <w:lang w:val="en-US" w:eastAsia="zh-CN"/>
        </w:rPr>
        <w:t>事故。</w:t>
      </w:r>
      <w:r>
        <w:rPr>
          <w:rFonts w:hint="default" w:ascii="Times New Roman" w:hAnsi="Times New Roman" w:eastAsia="仿宋_GB2312" w:cs="Times New Roman"/>
          <w:sz w:val="32"/>
          <w:szCs w:val="32"/>
        </w:rPr>
        <w:t>对接厦门市</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民宗局协调处理阿坝州来厦务工</w:t>
      </w:r>
      <w:r>
        <w:rPr>
          <w:rFonts w:hint="default" w:ascii="Times New Roman" w:hAnsi="Times New Roman" w:eastAsia="仿宋_GB2312" w:cs="Times New Roman"/>
          <w:sz w:val="32"/>
          <w:szCs w:val="32"/>
          <w:lang w:val="en-US" w:eastAsia="zh-CN"/>
        </w:rPr>
        <w:t>的藏族</w:t>
      </w:r>
      <w:r>
        <w:rPr>
          <w:rFonts w:hint="default" w:ascii="Times New Roman" w:hAnsi="Times New Roman" w:eastAsia="仿宋_GB2312" w:cs="Times New Roman"/>
          <w:sz w:val="32"/>
          <w:szCs w:val="32"/>
        </w:rPr>
        <w:t>农民工内部斗殴事件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协调、配合四川</w:t>
      </w:r>
      <w:r>
        <w:rPr>
          <w:rFonts w:hint="default" w:ascii="Times New Roman" w:hAnsi="Times New Roman" w:eastAsia="仿宋_GB2312" w:cs="Times New Roman"/>
          <w:sz w:val="32"/>
          <w:szCs w:val="32"/>
        </w:rPr>
        <w:t>省司法厅法律援助中心</w:t>
      </w:r>
      <w:r>
        <w:rPr>
          <w:rFonts w:hint="default" w:ascii="Times New Roman" w:hAnsi="Times New Roman" w:eastAsia="仿宋_GB2312" w:cs="Times New Roman"/>
          <w:sz w:val="32"/>
          <w:szCs w:val="32"/>
          <w:lang w:val="en-US" w:eastAsia="zh-CN"/>
        </w:rPr>
        <w:t>就</w:t>
      </w:r>
      <w:r>
        <w:rPr>
          <w:rFonts w:hint="default" w:ascii="Times New Roman" w:hAnsi="Times New Roman" w:eastAsia="仿宋_GB2312" w:cs="Times New Roman"/>
          <w:sz w:val="32"/>
          <w:szCs w:val="32"/>
        </w:rPr>
        <w:t>川籍农民工欠薪案</w:t>
      </w:r>
      <w:r>
        <w:rPr>
          <w:rFonts w:hint="default" w:ascii="Times New Roman" w:hAnsi="Times New Roman" w:eastAsia="仿宋_GB2312" w:cs="Times New Roman"/>
          <w:sz w:val="32"/>
          <w:szCs w:val="32"/>
          <w:lang w:val="en-US" w:eastAsia="zh-CN"/>
        </w:rPr>
        <w:t>进行维权服务</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Cs/>
          <w:color w:val="000000"/>
          <w:sz w:val="32"/>
          <w:szCs w:val="32"/>
          <w:lang w:val="en-US" w:eastAsia="zh-CN"/>
        </w:rPr>
        <w:t>（九）</w:t>
      </w:r>
      <w:r>
        <w:rPr>
          <w:rFonts w:hint="default" w:ascii="Times New Roman" w:hAnsi="Times New Roman" w:eastAsia="仿宋_GB2312" w:cs="Times New Roman"/>
          <w:bCs/>
          <w:color w:val="000000"/>
          <w:sz w:val="32"/>
          <w:szCs w:val="32"/>
          <w:lang w:val="en-US" w:eastAsia="zh-CN"/>
        </w:rPr>
        <w:t>有序推进劳务服务工作。迎接</w:t>
      </w:r>
      <w:r>
        <w:rPr>
          <w:rFonts w:hint="default" w:ascii="Times New Roman" w:hAnsi="Times New Roman" w:eastAsia="仿宋_GB2312" w:cs="Times New Roman"/>
          <w:bCs/>
          <w:color w:val="000000"/>
          <w:sz w:val="32"/>
          <w:szCs w:val="32"/>
        </w:rPr>
        <w:t>以</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天府情缘·护你返岗</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为主题的川籍农民工返岗</w:t>
      </w:r>
      <w:r>
        <w:rPr>
          <w:rFonts w:hint="default" w:ascii="Times New Roman" w:hAnsi="Times New Roman" w:eastAsia="仿宋_GB2312" w:cs="Times New Roman"/>
          <w:bCs/>
          <w:color w:val="000000"/>
          <w:sz w:val="32"/>
          <w:szCs w:val="32"/>
          <w:lang w:val="en-US" w:eastAsia="zh-CN"/>
        </w:rPr>
        <w:t>包机，</w:t>
      </w:r>
      <w:r>
        <w:rPr>
          <w:rFonts w:hint="default" w:ascii="Times New Roman" w:hAnsi="Times New Roman" w:eastAsia="仿宋_GB2312" w:cs="Times New Roman"/>
          <w:sz w:val="32"/>
          <w:szCs w:val="32"/>
        </w:rPr>
        <w:t>开展“心系移民·情暖乡亲”慰问川籍农民工和三峡移民活动，</w:t>
      </w:r>
      <w:r>
        <w:rPr>
          <w:rFonts w:hint="default" w:ascii="Times New Roman" w:hAnsi="Times New Roman" w:eastAsia="仿宋_GB2312" w:cs="Times New Roman"/>
          <w:sz w:val="32"/>
          <w:szCs w:val="32"/>
          <w:lang w:val="en-US" w:eastAsia="zh-CN"/>
        </w:rPr>
        <w:t>开展</w:t>
      </w:r>
      <w:r>
        <w:rPr>
          <w:rFonts w:hint="default" w:ascii="Times New Roman" w:hAnsi="Times New Roman" w:eastAsia="仿宋_GB2312" w:cs="Times New Roman"/>
          <w:sz w:val="32"/>
          <w:szCs w:val="32"/>
        </w:rPr>
        <w:t>“情暖农民工·冬日送温情”活动，将省委、省政府对在闽赣川籍农民工的关心关爱送到一线工厂工地。</w:t>
      </w:r>
      <w:r>
        <w:rPr>
          <w:rFonts w:hint="default" w:ascii="Times New Roman" w:hAnsi="Times New Roman" w:eastAsia="仿宋_GB2312" w:cs="Times New Roman"/>
          <w:sz w:val="32"/>
          <w:szCs w:val="32"/>
          <w:lang w:val="en-US" w:eastAsia="zh-CN"/>
        </w:rPr>
        <w:t>深入企业生产线对川籍农民工开展职业技能培训，指导成立了宜宾、南充和内江等市州驻闽农民工服务工作站（中心），加强了川籍农民工劳务服务工作力量。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（十）</w:t>
      </w:r>
      <w:r>
        <w:rPr>
          <w:rFonts w:hint="default" w:ascii="Times New Roman" w:hAnsi="Times New Roman" w:eastAsia="仿宋_GB2312" w:cs="Times New Roman"/>
          <w:sz w:val="32"/>
          <w:szCs w:val="32"/>
          <w:lang w:val="en-US" w:eastAsia="zh-CN"/>
        </w:rPr>
        <w:t>持续开展川商返乡、川货出川、商会建设工作。指导闽赣四川（川渝）商会20多部作品参加报名“四川省第四届暨川渝首届农民工原创文艺作品大赛”。</w:t>
      </w:r>
      <w:r>
        <w:rPr>
          <w:rFonts w:hint="default" w:ascii="Times New Roman" w:hAnsi="Times New Roman" w:eastAsia="仿宋_GB2312" w:cs="Times New Roman"/>
          <w:sz w:val="32"/>
          <w:szCs w:val="32"/>
        </w:rPr>
        <w:t>以“品质川货·川悦生活”为主题，举办两次川货出川展会活动；组织12次220余人次川籍企业返乡入乡创业考察，推动27个项目与地方政府对接，签约投资项目约4.1亿元</w:t>
      </w:r>
      <w:r>
        <w:rPr>
          <w:rFonts w:hint="default" w:ascii="Times New Roman" w:hAnsi="Times New Roman" w:eastAsia="仿宋_GB2312" w:cs="Times New Roman"/>
          <w:sz w:val="32"/>
          <w:szCs w:val="32"/>
          <w:lang w:eastAsia="zh-CN"/>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（十一）</w:t>
      </w:r>
      <w:r>
        <w:rPr>
          <w:rFonts w:hint="default" w:ascii="Times New Roman" w:hAnsi="Times New Roman" w:eastAsia="仿宋_GB2312" w:cs="Times New Roman"/>
          <w:sz w:val="32"/>
          <w:szCs w:val="32"/>
          <w:lang w:val="en-US" w:eastAsia="zh-CN"/>
        </w:rPr>
        <w:t>注重信息工作实效</w:t>
      </w:r>
      <w:r>
        <w:rPr>
          <w:rFonts w:hint="eastAsia" w:ascii="Times New Roman" w:hAnsi="Times New Roman" w:eastAsia="仿宋_GB2312" w:cs="Times New Roman"/>
          <w:sz w:val="32"/>
          <w:szCs w:val="32"/>
          <w:lang w:val="en-US" w:eastAsia="zh-CN"/>
        </w:rPr>
        <w:t>，扎实开展</w:t>
      </w:r>
      <w:r>
        <w:rPr>
          <w:rFonts w:hint="default" w:ascii="Times New Roman" w:hAnsi="Times New Roman" w:eastAsia="仿宋_GB2312" w:cs="Times New Roman"/>
          <w:sz w:val="32"/>
          <w:szCs w:val="32"/>
          <w:lang w:val="en-US" w:eastAsia="zh-CN"/>
        </w:rPr>
        <w:t>调研</w:t>
      </w:r>
      <w:r>
        <w:rPr>
          <w:rFonts w:hint="eastAsia"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lang w:val="en-US" w:eastAsia="zh-CN"/>
        </w:rPr>
        <w:t>今年以来，我办上报信息785条，目前被采用信息68条，省领导指示信息1条，机关党建网采用信息7篇，形成工作信息动态85篇。调研成果实现突破，形成了《政务服务新模式 营商环境新成效——基于厦门市“e政务”自助服务模式的调研》《关于江西省“链长制”模式的调研报告》《关于三明市公立医院综合改革的调研报告》等4篇高质量的调研报告，并得到多位省领导的肯定性批示。</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1"/>
        <w:rPr>
          <w:rFonts w:hint="eastAsia" w:ascii="黑体" w:hAnsi="黑体" w:eastAsia="黑体" w:cs="黑体"/>
          <w:sz w:val="32"/>
          <w:szCs w:val="32"/>
          <w:lang w:val="en-US" w:eastAsia="zh-CN"/>
        </w:rPr>
      </w:pPr>
      <w:bookmarkStart w:id="25" w:name="_Toc30704"/>
      <w:r>
        <w:rPr>
          <w:rFonts w:hint="eastAsia" w:ascii="黑体" w:hAnsi="黑体" w:eastAsia="黑体" w:cs="黑体"/>
          <w:sz w:val="32"/>
          <w:szCs w:val="32"/>
          <w:lang w:val="en-US" w:eastAsia="zh-CN"/>
        </w:rPr>
        <w:t>三、机构设置</w:t>
      </w:r>
      <w:bookmarkEnd w:id="25"/>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四川省人民政府驻厦门办事处由5个处室组成：分别是秘书处、经济合作处、劳务工作处、综合信息处、福州联络处。 </w:t>
      </w:r>
      <w:bookmarkStart w:id="26" w:name="_TOC_250003"/>
      <w:bookmarkEnd w:id="26"/>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lang w:val="en-US" w:eastAsia="zh-CN"/>
        </w:rPr>
      </w:pPr>
    </w:p>
    <w:p>
      <w:pPr>
        <w:widowControl/>
        <w:jc w:val="left"/>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pStyle w:val="3"/>
        <w:ind w:right="440"/>
        <w:jc w:val="center"/>
        <w:rPr>
          <w:rStyle w:val="29"/>
          <w:rFonts w:ascii="黑体" w:hAnsi="黑体" w:eastAsia="黑体"/>
          <w:b w:val="0"/>
          <w:bCs/>
          <w:color w:val="auto"/>
          <w:highlight w:val="none"/>
        </w:rPr>
      </w:pPr>
      <w:bookmarkStart w:id="27" w:name="_Toc15377204"/>
      <w:bookmarkStart w:id="28" w:name="_Toc15396602"/>
      <w:bookmarkStart w:id="29" w:name="_Toc13440"/>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9"/>
          <w:rFonts w:hint="eastAsia" w:ascii="黑体" w:hAnsi="黑体" w:eastAsia="黑体"/>
          <w:b w:val="0"/>
          <w:bCs/>
          <w:color w:val="auto"/>
          <w:highlight w:val="none"/>
          <w:lang w:eastAsia="zh-CN"/>
        </w:rPr>
        <w:t>单位</w:t>
      </w:r>
      <w:r>
        <w:rPr>
          <w:rStyle w:val="29"/>
          <w:rFonts w:hint="eastAsia" w:ascii="黑体" w:hAnsi="黑体" w:eastAsia="黑体"/>
          <w:b w:val="0"/>
          <w:bCs/>
          <w:color w:val="auto"/>
          <w:highlight w:val="none"/>
        </w:rPr>
        <w:t>决算情况说明</w:t>
      </w:r>
      <w:bookmarkEnd w:id="27"/>
      <w:bookmarkEnd w:id="28"/>
      <w:bookmarkEnd w:id="29"/>
    </w:p>
    <w:p>
      <w:pPr>
        <w:rPr>
          <w:color w:val="auto"/>
          <w:highlight w:val="none"/>
        </w:rPr>
      </w:pPr>
    </w:p>
    <w:p>
      <w:pPr>
        <w:pStyle w:val="28"/>
        <w:numPr>
          <w:ilvl w:val="0"/>
          <w:numId w:val="2"/>
        </w:numPr>
        <w:spacing w:line="600" w:lineRule="exact"/>
        <w:ind w:firstLineChars="0"/>
        <w:outlineLvl w:val="1"/>
        <w:rPr>
          <w:rStyle w:val="30"/>
          <w:rFonts w:ascii="黑体" w:hAnsi="黑体" w:eastAsia="黑体"/>
          <w:b w:val="0"/>
          <w:color w:val="auto"/>
          <w:highlight w:val="none"/>
        </w:rPr>
      </w:pPr>
      <w:bookmarkStart w:id="30" w:name="_Toc15377205"/>
      <w:bookmarkStart w:id="31" w:name="_Toc15396603"/>
      <w:bookmarkStart w:id="32" w:name="_Toc18987"/>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入支出决算总体情况说明</w:t>
      </w:r>
      <w:bookmarkEnd w:id="30"/>
      <w:bookmarkEnd w:id="31"/>
      <w:bookmarkEnd w:id="32"/>
    </w:p>
    <w:p>
      <w:pPr>
        <w:spacing w:line="600" w:lineRule="exact"/>
        <w:ind w:firstLine="640" w:firstLineChars="200"/>
        <w:rPr>
          <w:rFonts w:hint="eastAsia" w:ascii="仿宋_GB2312" w:hAnsi="仿宋" w:eastAsia="仿宋_GB2312"/>
          <w:sz w:val="32"/>
          <w:szCs w:val="32"/>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794.59</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81.09</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11.37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_GB2312" w:hAnsi="仿宋" w:eastAsia="仿宋_GB2312"/>
          <w:sz w:val="32"/>
          <w:szCs w:val="32"/>
          <w:lang w:val="en-US" w:eastAsia="zh-CN"/>
        </w:rPr>
        <w:t>增加了农民工服务保障专项经费、设备购置专项经费、人员工资福利等。</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8"/>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845050" cy="3374390"/>
            <wp:effectExtent l="4445" t="4445" r="14605" b="12065"/>
            <wp:docPr id="3" name="图表 3" descr="7b0a202020202263686172745265734964223a202232303437303832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8"/>
        <w:numPr>
          <w:ilvl w:val="0"/>
          <w:numId w:val="2"/>
        </w:numPr>
        <w:spacing w:line="600" w:lineRule="exact"/>
        <w:ind w:firstLineChars="0"/>
        <w:outlineLvl w:val="1"/>
        <w:rPr>
          <w:rStyle w:val="30"/>
          <w:rFonts w:ascii="黑体" w:hAnsi="黑体" w:eastAsia="黑体"/>
          <w:b w:val="0"/>
          <w:color w:val="auto"/>
          <w:highlight w:val="none"/>
        </w:rPr>
      </w:pPr>
      <w:bookmarkStart w:id="33" w:name="_Toc15396604"/>
      <w:bookmarkStart w:id="34" w:name="_Toc15377206"/>
      <w:bookmarkStart w:id="35" w:name="_Toc23301"/>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入决算情况说明</w:t>
      </w:r>
      <w:bookmarkEnd w:id="33"/>
      <w:bookmarkEnd w:id="34"/>
      <w:bookmarkEnd w:id="35"/>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737.59</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737.59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eastAsia="仿宋_GB2312"/>
          <w:bCs/>
          <w:sz w:val="32"/>
          <w:szCs w:val="32"/>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299585" cy="3110865"/>
            <wp:effectExtent l="4445" t="4445" r="13970" b="889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8"/>
        <w:numPr>
          <w:ilvl w:val="0"/>
          <w:numId w:val="2"/>
        </w:numPr>
        <w:spacing w:line="600" w:lineRule="exact"/>
        <w:ind w:firstLineChars="0"/>
        <w:outlineLvl w:val="1"/>
        <w:rPr>
          <w:rStyle w:val="30"/>
          <w:rFonts w:ascii="黑体" w:hAnsi="黑体" w:eastAsia="黑体"/>
          <w:b w:val="0"/>
          <w:color w:val="auto"/>
          <w:highlight w:val="none"/>
        </w:rPr>
      </w:pPr>
      <w:bookmarkStart w:id="36" w:name="_Toc15377207"/>
      <w:bookmarkStart w:id="37" w:name="_Toc15396605"/>
      <w:bookmarkStart w:id="38" w:name="_Toc22294"/>
      <w:r>
        <w:rPr>
          <w:rFonts w:hint="eastAsia" w:ascii="黑体" w:hAnsi="黑体" w:eastAsia="黑体"/>
          <w:color w:val="auto"/>
          <w:sz w:val="32"/>
          <w:szCs w:val="32"/>
          <w:highlight w:val="none"/>
        </w:rPr>
        <w:t>支</w:t>
      </w:r>
      <w:r>
        <w:rPr>
          <w:rStyle w:val="30"/>
          <w:rFonts w:hint="eastAsia" w:ascii="黑体" w:hAnsi="黑体" w:eastAsia="黑体"/>
          <w:b w:val="0"/>
          <w:color w:val="auto"/>
          <w:highlight w:val="none"/>
        </w:rPr>
        <w:t>出决算情况说明</w:t>
      </w:r>
      <w:bookmarkEnd w:id="36"/>
      <w:bookmarkEnd w:id="37"/>
      <w:bookmarkEnd w:id="38"/>
    </w:p>
    <w:p>
      <w:pPr>
        <w:spacing w:line="600" w:lineRule="exact"/>
        <w:ind w:firstLine="640" w:firstLineChars="200"/>
        <w:rPr>
          <w:rFonts w:eastAsia="仿宋_GB2312"/>
          <w:bCs/>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726.07</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565.4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77.87</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160.67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22.13</w:t>
      </w:r>
      <w:r>
        <w:rPr>
          <w:rFonts w:ascii="仿宋" w:hAnsi="仿宋" w:eastAsia="仿宋"/>
          <w:color w:val="auto"/>
          <w:sz w:val="32"/>
          <w:szCs w:val="32"/>
          <w:highlight w:val="none"/>
        </w:rPr>
        <w:t>%</w:t>
      </w:r>
      <w:r>
        <w:rPr>
          <w:rFonts w:hint="eastAsia" w:eastAsia="仿宋_GB2312"/>
          <w:bCs/>
          <w:sz w:val="32"/>
          <w:szCs w:val="32"/>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pStyle w:val="2"/>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drawing>
          <wp:inline distT="0" distB="0" distL="114300" distR="114300">
            <wp:extent cx="4335145" cy="3274060"/>
            <wp:effectExtent l="4445" t="4445" r="16510" b="107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outlineLvl w:val="1"/>
        <w:rPr>
          <w:rStyle w:val="30"/>
          <w:rFonts w:ascii="黑体" w:hAnsi="黑体" w:eastAsia="黑体"/>
          <w:b w:val="0"/>
          <w:color w:val="auto"/>
          <w:highlight w:val="none"/>
        </w:rPr>
      </w:pPr>
      <w:bookmarkStart w:id="39" w:name="_Toc15396606"/>
      <w:bookmarkStart w:id="40" w:name="_Toc15377208"/>
      <w:bookmarkStart w:id="41" w:name="_Toc10871"/>
      <w:r>
        <w:rPr>
          <w:rFonts w:hint="eastAsia" w:ascii="黑体" w:hAnsi="黑体" w:eastAsia="黑体"/>
          <w:color w:val="auto"/>
          <w:sz w:val="32"/>
          <w:szCs w:val="32"/>
          <w:highlight w:val="none"/>
        </w:rPr>
        <w:t>四、财</w:t>
      </w:r>
      <w:r>
        <w:rPr>
          <w:rStyle w:val="30"/>
          <w:rFonts w:hint="eastAsia" w:ascii="黑体" w:hAnsi="黑体" w:eastAsia="黑体"/>
          <w:b w:val="0"/>
          <w:color w:val="auto"/>
          <w:highlight w:val="none"/>
        </w:rPr>
        <w:t>政拨款收入支出决算总体情况说明</w:t>
      </w:r>
      <w:bookmarkEnd w:id="39"/>
      <w:bookmarkEnd w:id="40"/>
      <w:bookmarkEnd w:id="41"/>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794.59</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81.09</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11.37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_GB2312" w:hAnsi="仿宋" w:eastAsia="仿宋_GB2312"/>
          <w:sz w:val="32"/>
          <w:szCs w:val="32"/>
          <w:lang w:val="en-US" w:eastAsia="zh-CN"/>
        </w:rPr>
        <w:t>增加了农民工服务保障专项经费、设备购置专项经费、人员工资福利等。</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pStyle w:val="2"/>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4898390" cy="2921635"/>
            <wp:effectExtent l="4445" t="4445" r="12065" b="7620"/>
            <wp:docPr id="6" name="图表 6" descr="7b0a202020202263686172745265734964223a202232303437303832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outlineLvl w:val="1"/>
        <w:rPr>
          <w:rStyle w:val="30"/>
          <w:rFonts w:ascii="黑体" w:hAnsi="黑体" w:eastAsia="黑体"/>
          <w:b w:val="0"/>
          <w:color w:val="auto"/>
          <w:highlight w:val="none"/>
        </w:rPr>
      </w:pPr>
      <w:bookmarkStart w:id="42" w:name="_Toc15396607"/>
      <w:bookmarkStart w:id="43" w:name="_Toc15377209"/>
      <w:bookmarkStart w:id="44" w:name="_Toc8004"/>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般公共预算财政拨款支出决算情况说明</w:t>
      </w:r>
      <w:bookmarkEnd w:id="42"/>
      <w:bookmarkEnd w:id="43"/>
      <w:bookmarkEnd w:id="44"/>
    </w:p>
    <w:p>
      <w:pPr>
        <w:spacing w:line="600" w:lineRule="exact"/>
        <w:ind w:firstLine="643" w:firstLineChars="200"/>
        <w:outlineLvl w:val="2"/>
        <w:rPr>
          <w:rFonts w:ascii="仿宋" w:hAnsi="仿宋" w:eastAsia="仿宋"/>
          <w:b/>
          <w:color w:val="auto"/>
          <w:sz w:val="32"/>
          <w:szCs w:val="32"/>
          <w:highlight w:val="none"/>
        </w:rPr>
      </w:pPr>
      <w:bookmarkStart w:id="45" w:name="_Toc15377210"/>
      <w:r>
        <w:rPr>
          <w:rFonts w:hint="eastAsia" w:ascii="仿宋" w:hAnsi="仿宋" w:eastAsia="仿宋"/>
          <w:b/>
          <w:color w:val="auto"/>
          <w:sz w:val="32"/>
          <w:szCs w:val="32"/>
          <w:highlight w:val="none"/>
        </w:rPr>
        <w:t>（一）一般公共预算财政拨款支出决算总体情况</w:t>
      </w:r>
      <w:bookmarkEnd w:id="45"/>
    </w:p>
    <w:p>
      <w:pPr>
        <w:spacing w:line="600" w:lineRule="exact"/>
        <w:ind w:firstLine="640" w:firstLineChars="200"/>
        <w:rPr>
          <w:rFonts w:hint="eastAsia" w:ascii="仿宋_GB2312" w:hAnsi="仿宋" w:eastAsia="仿宋_GB2312"/>
          <w:sz w:val="32"/>
          <w:szCs w:val="32"/>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726.07</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178.38</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32.57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_GB2312" w:hAnsi="仿宋" w:eastAsia="仿宋_GB2312"/>
          <w:sz w:val="32"/>
          <w:szCs w:val="32"/>
          <w:lang w:val="en-US" w:eastAsia="zh-CN"/>
        </w:rPr>
        <w:t>增加了农民工服务保障专项经费、设备购置专项经费、人员工资福利等支出。</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pStyle w:val="2"/>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4752975" cy="2578100"/>
            <wp:effectExtent l="4445" t="4445" r="5080" b="8255"/>
            <wp:docPr id="7" name="图表 7" descr="7b0a202020202263686172745265734964223a202232303437303832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46" w:name="_Toc15377211"/>
      <w:r>
        <w:rPr>
          <w:rFonts w:hint="eastAsia" w:ascii="仿宋" w:hAnsi="仿宋" w:eastAsia="仿宋"/>
          <w:b/>
          <w:color w:val="auto"/>
          <w:sz w:val="32"/>
          <w:szCs w:val="32"/>
          <w:highlight w:val="none"/>
        </w:rPr>
        <w:t>（二）一般公共预算财政拨款支出决算结构情况</w:t>
      </w:r>
      <w:bookmarkEnd w:id="46"/>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726.07</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595.77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82.05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教育支出（类）</w:t>
      </w: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0.55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82.73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11.39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lang w:val="en-US" w:eastAsia="zh-CN"/>
        </w:rPr>
        <w:t>20.31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23.26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3.21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pStyle w:val="2"/>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4401820" cy="3302000"/>
            <wp:effectExtent l="4445" t="4445" r="13335" b="825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47" w:name="_Toc15377212"/>
      <w:r>
        <w:rPr>
          <w:rFonts w:hint="eastAsia" w:ascii="仿宋" w:hAnsi="仿宋" w:eastAsia="仿宋"/>
          <w:b/>
          <w:color w:val="auto"/>
          <w:sz w:val="32"/>
          <w:szCs w:val="32"/>
          <w:highlight w:val="none"/>
        </w:rPr>
        <w:t>（三）一般公共预算财政拨款支出决算具体情况</w:t>
      </w:r>
      <w:bookmarkEnd w:id="47"/>
    </w:p>
    <w:p>
      <w:pPr>
        <w:spacing w:line="600" w:lineRule="exact"/>
        <w:ind w:firstLine="643" w:firstLineChars="200"/>
        <w:outlineLvl w:val="1"/>
        <w:rPr>
          <w:rFonts w:ascii="仿宋" w:hAnsi="仿宋" w:eastAsia="仿宋"/>
          <w:color w:val="auto"/>
          <w:sz w:val="32"/>
          <w:szCs w:val="32"/>
          <w:highlight w:val="none"/>
        </w:rPr>
      </w:pPr>
      <w:bookmarkStart w:id="48" w:name="_Toc15377444"/>
      <w:bookmarkStart w:id="49" w:name="_Toc15378460"/>
      <w:bookmarkStart w:id="50" w:name="_Toc15377213"/>
      <w:bookmarkStart w:id="51" w:name="_Toc17978"/>
      <w:bookmarkStart w:id="52" w:name="_Toc253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726.07万元</w:t>
      </w:r>
      <w:r>
        <w:rPr>
          <w:rFonts w:hint="eastAsia" w:ascii="仿宋" w:hAnsi="仿宋" w:eastAsia="仿宋"/>
          <w:color w:val="auto"/>
          <w:sz w:val="32"/>
          <w:szCs w:val="32"/>
          <w:highlight w:val="none"/>
        </w:rPr>
        <w:t>，</w:t>
      </w:r>
      <w:r>
        <w:rPr>
          <w:rStyle w:val="19"/>
          <w:rFonts w:hint="eastAsia" w:ascii="仿宋" w:hAnsi="仿宋" w:eastAsia="仿宋"/>
          <w:bCs/>
          <w:color w:val="auto"/>
          <w:sz w:val="32"/>
          <w:szCs w:val="32"/>
          <w:highlight w:val="none"/>
        </w:rPr>
        <w:t>完成预算</w:t>
      </w:r>
      <w:r>
        <w:rPr>
          <w:rStyle w:val="19"/>
          <w:rFonts w:hint="eastAsia" w:ascii="仿宋" w:hAnsi="仿宋" w:eastAsia="仿宋"/>
          <w:bCs/>
          <w:color w:val="auto"/>
          <w:sz w:val="32"/>
          <w:szCs w:val="32"/>
          <w:highlight w:val="none"/>
          <w:lang w:val="en-US" w:eastAsia="zh-CN"/>
        </w:rPr>
        <w:t>91.38</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。其中：</w:t>
      </w:r>
      <w:bookmarkEnd w:id="48"/>
      <w:bookmarkEnd w:id="49"/>
      <w:bookmarkEnd w:id="50"/>
      <w:bookmarkEnd w:id="51"/>
      <w:bookmarkEnd w:id="52"/>
    </w:p>
    <w:p>
      <w:pPr>
        <w:spacing w:line="600" w:lineRule="exact"/>
        <w:ind w:firstLine="643" w:firstLineChars="200"/>
        <w:rPr>
          <w:rFonts w:eastAsia="仿宋_GB2312"/>
          <w:sz w:val="32"/>
          <w:szCs w:val="32"/>
        </w:rPr>
      </w:pPr>
      <w:r>
        <w:rPr>
          <w:rStyle w:val="19"/>
          <w:rFonts w:eastAsia="仿宋_GB2312"/>
          <w:bCs/>
          <w:sz w:val="32"/>
          <w:szCs w:val="32"/>
        </w:rPr>
        <w:t>1.一般公共服务（类）商贸事务（款）行政运行（项）:</w:t>
      </w:r>
      <w:r>
        <w:rPr>
          <w:rFonts w:eastAsia="仿宋_GB2312"/>
          <w:sz w:val="32"/>
          <w:szCs w:val="32"/>
        </w:rPr>
        <w:t>支出决算为</w:t>
      </w:r>
      <w:r>
        <w:rPr>
          <w:rFonts w:hint="eastAsia" w:eastAsia="仿宋_GB2312"/>
          <w:sz w:val="32"/>
          <w:szCs w:val="32"/>
          <w:lang w:val="en-US" w:eastAsia="zh-CN"/>
        </w:rPr>
        <w:t>435.1</w:t>
      </w:r>
      <w:r>
        <w:rPr>
          <w:rFonts w:eastAsia="仿宋_GB2312"/>
          <w:sz w:val="32"/>
          <w:szCs w:val="32"/>
        </w:rPr>
        <w:t>万元，完成预算</w:t>
      </w:r>
      <w:r>
        <w:rPr>
          <w:rFonts w:hint="eastAsia" w:eastAsia="仿宋_GB2312"/>
          <w:sz w:val="32"/>
          <w:szCs w:val="32"/>
          <w:lang w:val="en-US" w:eastAsia="zh-CN"/>
        </w:rPr>
        <w:t>91.24</w:t>
      </w:r>
      <w:r>
        <w:rPr>
          <w:rFonts w:eastAsia="仿宋_GB2312"/>
          <w:sz w:val="32"/>
          <w:szCs w:val="32"/>
        </w:rPr>
        <w:t>%，决算数小于预算数的主要原</w:t>
      </w:r>
      <w:r>
        <w:rPr>
          <w:rFonts w:eastAsia="仿宋_GB2312"/>
          <w:color w:val="auto"/>
          <w:sz w:val="32"/>
          <w:szCs w:val="32"/>
        </w:rPr>
        <w:t>因是</w:t>
      </w:r>
      <w:r>
        <w:rPr>
          <w:rFonts w:hint="eastAsia" w:eastAsia="仿宋_GB2312"/>
          <w:color w:val="auto"/>
          <w:sz w:val="32"/>
          <w:szCs w:val="32"/>
          <w:lang w:val="en-US" w:eastAsia="zh-CN"/>
        </w:rPr>
        <w:t>受疫情影响部分活动、培训取消或规模缩小</w:t>
      </w:r>
      <w:r>
        <w:rPr>
          <w:rFonts w:eastAsia="仿宋_GB2312"/>
          <w:sz w:val="32"/>
          <w:szCs w:val="32"/>
        </w:rPr>
        <w:t>。</w:t>
      </w:r>
    </w:p>
    <w:p>
      <w:pPr>
        <w:spacing w:line="600" w:lineRule="exact"/>
        <w:ind w:firstLine="643" w:firstLineChars="200"/>
        <w:rPr>
          <w:rFonts w:eastAsia="仿宋_GB2312"/>
          <w:b/>
          <w:sz w:val="32"/>
          <w:szCs w:val="32"/>
        </w:rPr>
      </w:pPr>
      <w:r>
        <w:rPr>
          <w:rStyle w:val="19"/>
          <w:rFonts w:eastAsia="仿宋_GB2312"/>
          <w:bCs/>
          <w:sz w:val="32"/>
          <w:szCs w:val="32"/>
        </w:rPr>
        <w:t>2.教育（类）教育支出（款）培训支出（项）:</w:t>
      </w:r>
      <w:r>
        <w:rPr>
          <w:rStyle w:val="19"/>
          <w:rFonts w:eastAsia="仿宋_GB2312"/>
          <w:b w:val="0"/>
          <w:bCs/>
          <w:sz w:val="32"/>
          <w:szCs w:val="32"/>
        </w:rPr>
        <w:t>支出决算为4万元，完成预算100%，决算数等于预算数。</w:t>
      </w:r>
    </w:p>
    <w:p>
      <w:pPr>
        <w:spacing w:line="600" w:lineRule="exact"/>
        <w:ind w:firstLine="643" w:firstLineChars="200"/>
        <w:rPr>
          <w:rFonts w:eastAsia="仿宋_GB2312"/>
          <w:b/>
          <w:sz w:val="32"/>
          <w:szCs w:val="32"/>
        </w:rPr>
      </w:pPr>
      <w:r>
        <w:rPr>
          <w:rStyle w:val="19"/>
          <w:rFonts w:eastAsia="仿宋_GB2312"/>
          <w:bCs/>
          <w:sz w:val="32"/>
          <w:szCs w:val="32"/>
        </w:rPr>
        <w:t>3.一般公共服务（类）商贸事务（款）一般行政管理事务（项）:</w:t>
      </w:r>
      <w:r>
        <w:rPr>
          <w:rStyle w:val="19"/>
          <w:rFonts w:eastAsia="仿宋_GB2312"/>
          <w:b w:val="0"/>
          <w:bCs/>
          <w:sz w:val="32"/>
          <w:szCs w:val="32"/>
        </w:rPr>
        <w:t>支出决算为</w:t>
      </w:r>
      <w:r>
        <w:rPr>
          <w:rStyle w:val="19"/>
          <w:rFonts w:hint="eastAsia" w:eastAsia="仿宋_GB2312"/>
          <w:b w:val="0"/>
          <w:bCs/>
          <w:sz w:val="32"/>
          <w:szCs w:val="32"/>
          <w:lang w:val="en-US" w:eastAsia="zh-CN"/>
        </w:rPr>
        <w:t>156.67</w:t>
      </w:r>
      <w:r>
        <w:rPr>
          <w:rStyle w:val="19"/>
          <w:rFonts w:eastAsia="仿宋_GB2312"/>
          <w:b w:val="0"/>
          <w:bCs/>
          <w:sz w:val="32"/>
          <w:szCs w:val="32"/>
        </w:rPr>
        <w:t>万元，完成预算</w:t>
      </w:r>
      <w:r>
        <w:rPr>
          <w:rStyle w:val="19"/>
          <w:rFonts w:hint="eastAsia" w:eastAsia="仿宋_GB2312"/>
          <w:b w:val="0"/>
          <w:bCs/>
          <w:sz w:val="32"/>
          <w:szCs w:val="32"/>
          <w:lang w:val="en-US" w:eastAsia="zh-CN"/>
        </w:rPr>
        <w:t>96.29</w:t>
      </w:r>
      <w:r>
        <w:rPr>
          <w:rStyle w:val="19"/>
          <w:rFonts w:eastAsia="仿宋_GB2312"/>
          <w:b w:val="0"/>
          <w:bCs/>
          <w:sz w:val="32"/>
          <w:szCs w:val="32"/>
        </w:rPr>
        <w:t>%，决算数小于预算数的主要原因是</w:t>
      </w:r>
      <w:r>
        <w:rPr>
          <w:rFonts w:hint="eastAsia" w:eastAsia="仿宋_GB2312"/>
          <w:color w:val="000000"/>
          <w:sz w:val="32"/>
          <w:szCs w:val="32"/>
          <w:lang w:val="en-US" w:eastAsia="zh-CN"/>
        </w:rPr>
        <w:t>受疫情影响劳务培训取消</w:t>
      </w:r>
      <w:r>
        <w:rPr>
          <w:rStyle w:val="19"/>
          <w:rFonts w:eastAsia="仿宋_GB2312"/>
          <w:b w:val="0"/>
          <w:bCs/>
          <w:sz w:val="32"/>
          <w:szCs w:val="32"/>
        </w:rPr>
        <w:t>。</w:t>
      </w:r>
    </w:p>
    <w:p>
      <w:pPr>
        <w:spacing w:line="600" w:lineRule="exact"/>
        <w:ind w:firstLine="643" w:firstLineChars="200"/>
        <w:rPr>
          <w:rStyle w:val="19"/>
          <w:rFonts w:eastAsia="仿宋_GB2312"/>
          <w:b w:val="0"/>
          <w:bCs/>
          <w:sz w:val="32"/>
          <w:szCs w:val="32"/>
        </w:rPr>
      </w:pPr>
      <w:r>
        <w:rPr>
          <w:rStyle w:val="19"/>
          <w:rFonts w:eastAsia="仿宋_GB2312"/>
          <w:bCs/>
          <w:sz w:val="32"/>
          <w:szCs w:val="32"/>
        </w:rPr>
        <w:t>4.一般公共服务（类）商贸事务（款）招商引资（项）:</w:t>
      </w:r>
      <w:r>
        <w:rPr>
          <w:rStyle w:val="19"/>
          <w:rFonts w:eastAsia="仿宋_GB2312"/>
          <w:b w:val="0"/>
          <w:bCs/>
          <w:sz w:val="32"/>
          <w:szCs w:val="32"/>
        </w:rPr>
        <w:t>支出决算为</w:t>
      </w:r>
      <w:r>
        <w:rPr>
          <w:rStyle w:val="19"/>
          <w:rFonts w:hint="eastAsia" w:eastAsia="仿宋_GB2312"/>
          <w:b w:val="0"/>
          <w:bCs/>
          <w:sz w:val="32"/>
          <w:szCs w:val="32"/>
          <w:lang w:val="en-US" w:eastAsia="zh-CN"/>
        </w:rPr>
        <w:t>4</w:t>
      </w:r>
      <w:r>
        <w:rPr>
          <w:rStyle w:val="19"/>
          <w:rFonts w:eastAsia="仿宋_GB2312"/>
          <w:b w:val="0"/>
          <w:bCs/>
          <w:sz w:val="32"/>
          <w:szCs w:val="32"/>
        </w:rPr>
        <w:t>万元，完成预算100%，决算数等于预算数。</w:t>
      </w:r>
    </w:p>
    <w:p>
      <w:pPr>
        <w:spacing w:line="600" w:lineRule="exact"/>
        <w:ind w:firstLine="643" w:firstLineChars="200"/>
        <w:rPr>
          <w:rFonts w:hint="eastAsia" w:eastAsia="仿宋_GB2312"/>
          <w:color w:val="000000"/>
          <w:sz w:val="32"/>
          <w:szCs w:val="32"/>
          <w:lang w:val="en-US" w:eastAsia="zh-CN"/>
        </w:rPr>
      </w:pPr>
      <w:r>
        <w:rPr>
          <w:rStyle w:val="19"/>
          <w:rFonts w:hint="eastAsia" w:eastAsia="仿宋_GB2312"/>
          <w:bCs/>
          <w:sz w:val="32"/>
          <w:szCs w:val="32"/>
          <w:lang w:val="en-US" w:eastAsia="zh-CN"/>
        </w:rPr>
        <w:t>5</w:t>
      </w:r>
      <w:r>
        <w:rPr>
          <w:rStyle w:val="19"/>
          <w:rFonts w:eastAsia="仿宋_GB2312"/>
          <w:bCs/>
          <w:sz w:val="32"/>
          <w:szCs w:val="32"/>
        </w:rPr>
        <w:t>.社会保障和就业支出（类）行政事业单位养老支出（款）行政单位离退休（项）:</w:t>
      </w:r>
      <w:r>
        <w:rPr>
          <w:rFonts w:hint="eastAsia" w:eastAsia="仿宋_GB2312"/>
          <w:color w:val="000000"/>
          <w:sz w:val="32"/>
          <w:szCs w:val="32"/>
          <w:lang w:val="en-US" w:eastAsia="zh-CN"/>
        </w:rPr>
        <w:t>支出决算为54.44万元，完成预算99.18%，决算数小于预算数的主要原因是预算数不够精准，导致预决算有轻微差异。</w:t>
      </w:r>
    </w:p>
    <w:p>
      <w:pPr>
        <w:spacing w:line="600" w:lineRule="exact"/>
        <w:ind w:firstLine="643" w:firstLineChars="200"/>
        <w:rPr>
          <w:rStyle w:val="19"/>
          <w:rFonts w:hint="default" w:eastAsia="仿宋_GB2312"/>
          <w:b w:val="0"/>
          <w:bCs/>
          <w:sz w:val="32"/>
          <w:szCs w:val="32"/>
          <w:lang w:val="en-US"/>
        </w:rPr>
      </w:pPr>
      <w:r>
        <w:rPr>
          <w:rStyle w:val="19"/>
          <w:rFonts w:hint="eastAsia" w:eastAsia="仿宋_GB2312"/>
          <w:bCs/>
          <w:sz w:val="32"/>
          <w:szCs w:val="32"/>
          <w:lang w:val="en-US" w:eastAsia="zh-CN"/>
        </w:rPr>
        <w:t>6</w:t>
      </w:r>
      <w:r>
        <w:rPr>
          <w:rStyle w:val="19"/>
          <w:rFonts w:eastAsia="仿宋_GB2312"/>
          <w:bCs/>
          <w:sz w:val="32"/>
          <w:szCs w:val="32"/>
        </w:rPr>
        <w:t>.社会保障和就业支出（类）行政事业单位养老支出（款）机关事业单位基本养老保险缴费支出（项）:</w:t>
      </w:r>
      <w:r>
        <w:rPr>
          <w:rStyle w:val="19"/>
          <w:rFonts w:eastAsia="仿宋_GB2312"/>
          <w:b w:val="0"/>
          <w:bCs/>
          <w:sz w:val="32"/>
          <w:szCs w:val="32"/>
        </w:rPr>
        <w:t>支出决算为</w:t>
      </w:r>
      <w:r>
        <w:rPr>
          <w:rStyle w:val="19"/>
          <w:rFonts w:hint="eastAsia" w:eastAsia="仿宋_GB2312"/>
          <w:b w:val="0"/>
          <w:bCs/>
          <w:sz w:val="32"/>
          <w:szCs w:val="32"/>
          <w:lang w:val="en-US" w:eastAsia="zh-CN"/>
        </w:rPr>
        <w:t>28.29</w:t>
      </w:r>
      <w:r>
        <w:rPr>
          <w:rStyle w:val="19"/>
          <w:rFonts w:eastAsia="仿宋_GB2312"/>
          <w:b w:val="0"/>
          <w:bCs/>
          <w:sz w:val="32"/>
          <w:szCs w:val="32"/>
        </w:rPr>
        <w:t>万元，完成预算</w:t>
      </w:r>
      <w:r>
        <w:rPr>
          <w:rStyle w:val="19"/>
          <w:rFonts w:hint="eastAsia" w:eastAsia="仿宋_GB2312"/>
          <w:b w:val="0"/>
          <w:bCs/>
          <w:sz w:val="32"/>
          <w:szCs w:val="32"/>
          <w:lang w:val="en-US" w:eastAsia="zh-CN"/>
        </w:rPr>
        <w:t>81.06</w:t>
      </w:r>
      <w:r>
        <w:rPr>
          <w:rStyle w:val="19"/>
          <w:rFonts w:eastAsia="仿宋_GB2312"/>
          <w:b w:val="0"/>
          <w:bCs/>
          <w:sz w:val="32"/>
          <w:szCs w:val="32"/>
        </w:rPr>
        <w:t>%，决算数小于预算数的主要原因是</w:t>
      </w:r>
      <w:r>
        <w:rPr>
          <w:rFonts w:hint="eastAsia" w:eastAsia="仿宋_GB2312"/>
          <w:color w:val="000000"/>
          <w:sz w:val="32"/>
          <w:szCs w:val="32"/>
          <w:lang w:val="en-US" w:eastAsia="zh-CN"/>
        </w:rPr>
        <w:t>人员编制未满员，支出相应减少。</w:t>
      </w:r>
    </w:p>
    <w:p>
      <w:pPr>
        <w:spacing w:line="600" w:lineRule="exact"/>
        <w:ind w:firstLine="643" w:firstLineChars="200"/>
        <w:rPr>
          <w:rStyle w:val="19"/>
          <w:rFonts w:hint="default" w:eastAsia="仿宋_GB2312"/>
          <w:b w:val="0"/>
          <w:bCs/>
          <w:sz w:val="32"/>
          <w:szCs w:val="32"/>
          <w:lang w:val="en-US"/>
        </w:rPr>
      </w:pPr>
      <w:r>
        <w:rPr>
          <w:rStyle w:val="19"/>
          <w:rFonts w:hint="eastAsia" w:eastAsia="仿宋_GB2312"/>
          <w:bCs/>
          <w:sz w:val="32"/>
          <w:szCs w:val="32"/>
          <w:lang w:val="en-US" w:eastAsia="zh-CN"/>
        </w:rPr>
        <w:t>7</w:t>
      </w:r>
      <w:r>
        <w:rPr>
          <w:rStyle w:val="19"/>
          <w:rFonts w:eastAsia="仿宋_GB2312"/>
          <w:bCs/>
          <w:sz w:val="32"/>
          <w:szCs w:val="32"/>
        </w:rPr>
        <w:t>.</w:t>
      </w:r>
      <w:r>
        <w:rPr>
          <w:rFonts w:eastAsia="仿宋_GB2312"/>
          <w:b/>
          <w:bCs/>
          <w:sz w:val="32"/>
          <w:szCs w:val="32"/>
        </w:rPr>
        <w:t>卫生健康</w:t>
      </w:r>
      <w:r>
        <w:rPr>
          <w:rStyle w:val="19"/>
          <w:rFonts w:eastAsia="仿宋_GB2312"/>
          <w:bCs/>
          <w:sz w:val="32"/>
          <w:szCs w:val="32"/>
        </w:rPr>
        <w:t>（类）行政事业单位医疗（款）行政单位医疗（项）:</w:t>
      </w:r>
      <w:r>
        <w:rPr>
          <w:rStyle w:val="19"/>
          <w:rFonts w:eastAsia="仿宋_GB2312"/>
          <w:b w:val="0"/>
          <w:bCs/>
          <w:sz w:val="32"/>
          <w:szCs w:val="32"/>
        </w:rPr>
        <w:t>支出决算为</w:t>
      </w:r>
      <w:r>
        <w:rPr>
          <w:rStyle w:val="19"/>
          <w:rFonts w:hint="eastAsia" w:eastAsia="仿宋_GB2312"/>
          <w:b w:val="0"/>
          <w:bCs/>
          <w:sz w:val="32"/>
          <w:szCs w:val="32"/>
          <w:lang w:val="en-US" w:eastAsia="zh-CN"/>
        </w:rPr>
        <w:t>16.45</w:t>
      </w:r>
      <w:r>
        <w:rPr>
          <w:rStyle w:val="19"/>
          <w:rFonts w:eastAsia="仿宋_GB2312"/>
          <w:b w:val="0"/>
          <w:bCs/>
          <w:sz w:val="32"/>
          <w:szCs w:val="32"/>
        </w:rPr>
        <w:t>万元，完成预算</w:t>
      </w:r>
      <w:r>
        <w:rPr>
          <w:rStyle w:val="19"/>
          <w:rFonts w:hint="eastAsia" w:eastAsia="仿宋_GB2312"/>
          <w:b w:val="0"/>
          <w:bCs/>
          <w:sz w:val="32"/>
          <w:szCs w:val="32"/>
          <w:lang w:val="en-US" w:eastAsia="zh-CN"/>
        </w:rPr>
        <w:t>73.7</w:t>
      </w:r>
      <w:r>
        <w:rPr>
          <w:rStyle w:val="19"/>
          <w:rFonts w:eastAsia="仿宋_GB2312"/>
          <w:b w:val="0"/>
          <w:bCs/>
          <w:sz w:val="32"/>
          <w:szCs w:val="32"/>
        </w:rPr>
        <w:t>%，决算数小于预算数的主要原因是</w:t>
      </w:r>
      <w:r>
        <w:rPr>
          <w:rFonts w:hint="eastAsia" w:eastAsia="仿宋_GB2312"/>
          <w:color w:val="000000"/>
          <w:sz w:val="32"/>
          <w:szCs w:val="32"/>
          <w:lang w:val="en-US" w:eastAsia="zh-CN"/>
        </w:rPr>
        <w:t>人员编制未满员，支出相应减少。</w:t>
      </w:r>
    </w:p>
    <w:p>
      <w:pPr>
        <w:spacing w:line="600" w:lineRule="exact"/>
        <w:ind w:firstLine="643" w:firstLineChars="200"/>
        <w:rPr>
          <w:rStyle w:val="19"/>
          <w:rFonts w:hint="default" w:eastAsia="仿宋_GB2312"/>
          <w:b w:val="0"/>
          <w:bCs/>
          <w:sz w:val="32"/>
          <w:szCs w:val="32"/>
          <w:lang w:val="en-US"/>
        </w:rPr>
      </w:pPr>
      <w:r>
        <w:rPr>
          <w:rStyle w:val="19"/>
          <w:rFonts w:hint="eastAsia" w:eastAsia="仿宋_GB2312"/>
          <w:bCs/>
          <w:sz w:val="32"/>
          <w:szCs w:val="32"/>
          <w:lang w:val="en-US" w:eastAsia="zh-CN"/>
        </w:rPr>
        <w:t>8</w:t>
      </w:r>
      <w:r>
        <w:rPr>
          <w:rStyle w:val="19"/>
          <w:rFonts w:eastAsia="仿宋_GB2312"/>
          <w:bCs/>
          <w:sz w:val="32"/>
          <w:szCs w:val="32"/>
        </w:rPr>
        <w:t>.</w:t>
      </w:r>
      <w:r>
        <w:rPr>
          <w:rFonts w:eastAsia="仿宋_GB2312"/>
          <w:b/>
          <w:bCs/>
          <w:sz w:val="32"/>
          <w:szCs w:val="32"/>
        </w:rPr>
        <w:t>卫生健康</w:t>
      </w:r>
      <w:r>
        <w:rPr>
          <w:rStyle w:val="19"/>
          <w:rFonts w:eastAsia="仿宋_GB2312"/>
          <w:bCs/>
          <w:sz w:val="32"/>
          <w:szCs w:val="32"/>
        </w:rPr>
        <w:t>（类）行政事业单位医疗（款）公务员医疗补助（项）:</w:t>
      </w:r>
      <w:r>
        <w:rPr>
          <w:rStyle w:val="19"/>
          <w:rFonts w:eastAsia="仿宋_GB2312"/>
          <w:b w:val="0"/>
          <w:bCs/>
          <w:sz w:val="32"/>
          <w:szCs w:val="32"/>
        </w:rPr>
        <w:t>支出决算为</w:t>
      </w:r>
      <w:r>
        <w:rPr>
          <w:rStyle w:val="19"/>
          <w:rFonts w:hint="eastAsia" w:eastAsia="仿宋_GB2312"/>
          <w:b w:val="0"/>
          <w:bCs/>
          <w:sz w:val="32"/>
          <w:szCs w:val="32"/>
          <w:lang w:val="en-US" w:eastAsia="zh-CN"/>
        </w:rPr>
        <w:t>3.86</w:t>
      </w:r>
      <w:r>
        <w:rPr>
          <w:rStyle w:val="19"/>
          <w:rFonts w:eastAsia="仿宋_GB2312"/>
          <w:b w:val="0"/>
          <w:bCs/>
          <w:sz w:val="32"/>
          <w:szCs w:val="32"/>
        </w:rPr>
        <w:t>万元，完成预算</w:t>
      </w:r>
      <w:r>
        <w:rPr>
          <w:rStyle w:val="19"/>
          <w:rFonts w:hint="eastAsia" w:eastAsia="仿宋_GB2312"/>
          <w:b w:val="0"/>
          <w:bCs/>
          <w:sz w:val="32"/>
          <w:szCs w:val="32"/>
          <w:lang w:val="en-US" w:eastAsia="zh-CN"/>
        </w:rPr>
        <w:t>74.95</w:t>
      </w:r>
      <w:r>
        <w:rPr>
          <w:rStyle w:val="19"/>
          <w:rFonts w:eastAsia="仿宋_GB2312"/>
          <w:b w:val="0"/>
          <w:bCs/>
          <w:sz w:val="32"/>
          <w:szCs w:val="32"/>
        </w:rPr>
        <w:t>%，决算数小于预算数的主要原因是</w:t>
      </w:r>
      <w:r>
        <w:rPr>
          <w:rFonts w:hint="eastAsia" w:eastAsia="仿宋_GB2312"/>
          <w:color w:val="000000"/>
          <w:sz w:val="32"/>
          <w:szCs w:val="32"/>
          <w:lang w:val="en-US" w:eastAsia="zh-CN"/>
        </w:rPr>
        <w:t>人员编制未满员，支出相应减少。</w:t>
      </w:r>
    </w:p>
    <w:p>
      <w:pPr>
        <w:spacing w:line="600" w:lineRule="exact"/>
        <w:ind w:firstLine="643" w:firstLineChars="200"/>
        <w:rPr>
          <w:rFonts w:ascii="仿宋" w:hAnsi="仿宋" w:eastAsia="仿宋"/>
          <w:b/>
          <w:color w:val="auto"/>
          <w:sz w:val="32"/>
          <w:szCs w:val="32"/>
          <w:highlight w:val="none"/>
        </w:rPr>
      </w:pPr>
      <w:r>
        <w:rPr>
          <w:rStyle w:val="19"/>
          <w:rFonts w:hint="eastAsia" w:eastAsia="仿宋_GB2312"/>
          <w:bCs/>
          <w:sz w:val="32"/>
          <w:szCs w:val="32"/>
          <w:lang w:val="en-US" w:eastAsia="zh-CN"/>
        </w:rPr>
        <w:t>9</w:t>
      </w:r>
      <w:r>
        <w:rPr>
          <w:rStyle w:val="19"/>
          <w:rFonts w:eastAsia="仿宋_GB2312"/>
          <w:bCs/>
          <w:sz w:val="32"/>
          <w:szCs w:val="32"/>
        </w:rPr>
        <w:t>.</w:t>
      </w:r>
      <w:r>
        <w:rPr>
          <w:rFonts w:eastAsia="仿宋_GB2312"/>
          <w:b/>
          <w:bCs/>
          <w:sz w:val="32"/>
          <w:szCs w:val="32"/>
        </w:rPr>
        <w:t>住房保障</w:t>
      </w:r>
      <w:r>
        <w:rPr>
          <w:rStyle w:val="19"/>
          <w:rFonts w:eastAsia="仿宋_GB2312"/>
          <w:bCs/>
          <w:sz w:val="32"/>
          <w:szCs w:val="32"/>
        </w:rPr>
        <w:t>（类）住房改革支出（款）住房公积金（项）:</w:t>
      </w:r>
      <w:r>
        <w:rPr>
          <w:rStyle w:val="19"/>
          <w:rFonts w:eastAsia="仿宋_GB2312"/>
          <w:b w:val="0"/>
          <w:bCs/>
          <w:sz w:val="32"/>
          <w:szCs w:val="32"/>
        </w:rPr>
        <w:t>支出决算为</w:t>
      </w:r>
      <w:r>
        <w:rPr>
          <w:rStyle w:val="19"/>
          <w:rFonts w:hint="eastAsia" w:eastAsia="仿宋_GB2312"/>
          <w:b w:val="0"/>
          <w:bCs/>
          <w:sz w:val="32"/>
          <w:szCs w:val="32"/>
          <w:lang w:val="en-US" w:eastAsia="zh-CN"/>
        </w:rPr>
        <w:t>23.26</w:t>
      </w:r>
      <w:r>
        <w:rPr>
          <w:rStyle w:val="19"/>
          <w:rFonts w:eastAsia="仿宋_GB2312"/>
          <w:b w:val="0"/>
          <w:bCs/>
          <w:sz w:val="32"/>
          <w:szCs w:val="32"/>
        </w:rPr>
        <w:t>万元，完成预算</w:t>
      </w:r>
      <w:r>
        <w:rPr>
          <w:rStyle w:val="19"/>
          <w:rFonts w:hint="eastAsia" w:eastAsia="仿宋_GB2312"/>
          <w:b w:val="0"/>
          <w:bCs/>
          <w:sz w:val="32"/>
          <w:szCs w:val="32"/>
          <w:lang w:val="en-US" w:eastAsia="zh-CN"/>
        </w:rPr>
        <w:t>78.19</w:t>
      </w:r>
      <w:r>
        <w:rPr>
          <w:rStyle w:val="19"/>
          <w:rFonts w:eastAsia="仿宋_GB2312"/>
          <w:b w:val="0"/>
          <w:bCs/>
          <w:sz w:val="32"/>
          <w:szCs w:val="32"/>
        </w:rPr>
        <w:t>%，决算数小于预算数的主要原因是</w:t>
      </w:r>
      <w:r>
        <w:rPr>
          <w:rFonts w:hint="eastAsia" w:eastAsia="仿宋_GB2312"/>
          <w:color w:val="000000"/>
          <w:sz w:val="32"/>
          <w:szCs w:val="32"/>
          <w:lang w:val="en-US" w:eastAsia="zh-CN"/>
        </w:rPr>
        <w:t>人员编制未满员，支出相应减少。</w:t>
      </w:r>
    </w:p>
    <w:p>
      <w:pPr>
        <w:tabs>
          <w:tab w:val="right" w:pos="8306"/>
        </w:tabs>
        <w:spacing w:line="600" w:lineRule="exact"/>
        <w:ind w:firstLine="640"/>
        <w:outlineLvl w:val="1"/>
        <w:rPr>
          <w:rStyle w:val="30"/>
          <w:color w:val="auto"/>
          <w:highlight w:val="none"/>
        </w:rPr>
      </w:pPr>
      <w:bookmarkStart w:id="53" w:name="_Toc15396608"/>
      <w:bookmarkStart w:id="54" w:name="_Toc15377214"/>
      <w:bookmarkStart w:id="55" w:name="_Toc936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般公共预算财政拨款基本支出决算情况说明</w:t>
      </w:r>
      <w:bookmarkEnd w:id="53"/>
      <w:bookmarkEnd w:id="54"/>
      <w:bookmarkEnd w:id="55"/>
      <w:r>
        <w:rPr>
          <w:rStyle w:val="30"/>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565.4</w:t>
      </w:r>
      <w:r>
        <w:rPr>
          <w:rFonts w:hint="eastAsia" w:ascii="仿宋" w:hAnsi="仿宋" w:eastAsia="仿宋"/>
          <w:color w:val="auto"/>
          <w:sz w:val="32"/>
          <w:szCs w:val="32"/>
          <w:highlight w:val="none"/>
        </w:rPr>
        <w:t>万元，其中：</w:t>
      </w:r>
    </w:p>
    <w:p>
      <w:pPr>
        <w:spacing w:line="600" w:lineRule="exact"/>
        <w:ind w:firstLine="645"/>
        <w:rPr>
          <w:rFonts w:hint="eastAsia" w:eastAsia="仿宋_GB2312"/>
          <w:sz w:val="32"/>
          <w:szCs w:val="32"/>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403.22</w:t>
      </w:r>
      <w:r>
        <w:rPr>
          <w:rFonts w:hint="eastAsia" w:ascii="仿宋" w:hAnsi="仿宋" w:eastAsia="仿宋"/>
          <w:color w:val="auto"/>
          <w:sz w:val="32"/>
          <w:szCs w:val="32"/>
          <w:highlight w:val="none"/>
        </w:rPr>
        <w:t>万元，主要包括：</w:t>
      </w:r>
      <w:r>
        <w:rPr>
          <w:rFonts w:eastAsia="仿宋_GB2312"/>
          <w:sz w:val="32"/>
          <w:szCs w:val="32"/>
        </w:rPr>
        <w:t>基本工资、津贴补贴、奖金、机关事业单位基本养老保险缴费、职工基本医疗保险缴费、公务员医疗补助缴费、其他工资福利支出、退休费、住房公积金、其他对个人和家庭的补助支出等。</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162.18</w:t>
      </w:r>
      <w:r>
        <w:rPr>
          <w:rFonts w:hint="eastAsia" w:ascii="仿宋" w:hAnsi="仿宋" w:eastAsia="仿宋"/>
          <w:color w:val="auto"/>
          <w:sz w:val="32"/>
          <w:szCs w:val="32"/>
          <w:highlight w:val="none"/>
        </w:rPr>
        <w:t>万元，主要包括：办公费、印刷费、咨询费、水费、电费、邮电费、物业管理费、差旅费、维修（护）费、租赁费、会议费、培训费、公务接待费、劳务费、委托业务费、工会经费、福利费、公务用车运行维护费、其他交通费、其他商品和服务支出等。</w:t>
      </w:r>
    </w:p>
    <w:p>
      <w:pPr>
        <w:spacing w:line="600" w:lineRule="exact"/>
        <w:ind w:firstLine="640"/>
        <w:outlineLvl w:val="1"/>
        <w:rPr>
          <w:rStyle w:val="30"/>
          <w:rFonts w:ascii="黑体" w:hAnsi="黑体" w:eastAsia="黑体"/>
          <w:b w:val="0"/>
          <w:color w:val="auto"/>
          <w:highlight w:val="none"/>
        </w:rPr>
      </w:pPr>
      <w:bookmarkStart w:id="56" w:name="_Toc15396609"/>
      <w:bookmarkStart w:id="57" w:name="_Toc15377215"/>
      <w:bookmarkStart w:id="58" w:name="_Toc8178"/>
      <w:r>
        <w:rPr>
          <w:rFonts w:hint="eastAsia" w:ascii="黑体" w:eastAsia="黑体"/>
          <w:color w:val="auto"/>
          <w:sz w:val="32"/>
          <w:szCs w:val="32"/>
          <w:highlight w:val="none"/>
        </w:rPr>
        <w:t>七、</w:t>
      </w:r>
      <w:r>
        <w:rPr>
          <w:rStyle w:val="30"/>
          <w:rFonts w:hint="eastAsia" w:ascii="黑体" w:hAnsi="黑体" w:eastAsia="黑体"/>
          <w:color w:val="auto"/>
          <w:highlight w:val="none"/>
        </w:rPr>
        <w:t>“</w:t>
      </w:r>
      <w:r>
        <w:rPr>
          <w:rStyle w:val="30"/>
          <w:rFonts w:hint="eastAsia" w:ascii="黑体" w:hAnsi="黑体" w:eastAsia="黑体"/>
          <w:b w:val="0"/>
          <w:color w:val="auto"/>
          <w:highlight w:val="none"/>
        </w:rPr>
        <w:t>三公”经费财政拨款支出决算情况说明</w:t>
      </w:r>
      <w:bookmarkEnd w:id="56"/>
      <w:bookmarkEnd w:id="57"/>
      <w:bookmarkEnd w:id="58"/>
    </w:p>
    <w:p>
      <w:pPr>
        <w:spacing w:line="600" w:lineRule="exact"/>
        <w:ind w:firstLine="640"/>
        <w:outlineLvl w:val="2"/>
        <w:rPr>
          <w:rFonts w:ascii="仿宋" w:hAnsi="仿宋" w:eastAsia="仿宋"/>
          <w:b/>
          <w:color w:val="auto"/>
          <w:sz w:val="32"/>
          <w:szCs w:val="32"/>
          <w:highlight w:val="none"/>
        </w:rPr>
      </w:pPr>
      <w:bookmarkStart w:id="59" w:name="_Toc15377216"/>
      <w:r>
        <w:rPr>
          <w:rFonts w:hint="eastAsia" w:ascii="仿宋" w:hAnsi="仿宋" w:eastAsia="仿宋"/>
          <w:b/>
          <w:color w:val="auto"/>
          <w:sz w:val="32"/>
          <w:szCs w:val="32"/>
          <w:highlight w:val="none"/>
        </w:rPr>
        <w:t>（一）“三公”经费财政拨款支出决算总体情况说明</w:t>
      </w:r>
      <w:bookmarkEnd w:id="59"/>
    </w:p>
    <w:p>
      <w:pPr>
        <w:spacing w:line="600" w:lineRule="exact"/>
        <w:ind w:firstLine="645"/>
        <w:rPr>
          <w:rFonts w:eastAsia="仿宋_GB2312"/>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27.91</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66.45</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eastAsia" w:eastAsia="仿宋_GB2312"/>
          <w:sz w:val="32"/>
          <w:szCs w:val="32"/>
        </w:rPr>
        <w:t>厉行节约压缩三公经费支出。</w:t>
      </w:r>
    </w:p>
    <w:p>
      <w:pPr>
        <w:spacing w:line="600" w:lineRule="exact"/>
        <w:ind w:firstLine="640"/>
        <w:outlineLvl w:val="2"/>
        <w:rPr>
          <w:rFonts w:ascii="仿宋" w:hAnsi="仿宋" w:eastAsia="仿宋"/>
          <w:b/>
          <w:color w:val="auto"/>
          <w:sz w:val="32"/>
          <w:szCs w:val="32"/>
          <w:highlight w:val="none"/>
        </w:rPr>
      </w:pPr>
      <w:bookmarkStart w:id="60" w:name="_Toc15377217"/>
      <w:r>
        <w:rPr>
          <w:rFonts w:hint="eastAsia" w:ascii="仿宋" w:hAnsi="仿宋" w:eastAsia="仿宋"/>
          <w:b/>
          <w:color w:val="auto"/>
          <w:sz w:val="32"/>
          <w:szCs w:val="32"/>
          <w:highlight w:val="none"/>
        </w:rPr>
        <w:t>（二）“三公”经费财政拨款支出决算具体情况说明</w:t>
      </w:r>
      <w:bookmarkEnd w:id="60"/>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6.34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22.72</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21.57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77.28</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pStyle w:val="2"/>
        <w:rPr>
          <w:rFonts w:hint="eastAsia" w:ascii="仿宋" w:hAnsi="仿宋" w:eastAsia="仿宋"/>
          <w:color w:val="auto"/>
          <w:sz w:val="32"/>
          <w:szCs w:val="32"/>
          <w:highlight w:val="none"/>
        </w:rPr>
      </w:pPr>
      <w:r>
        <w:rPr>
          <w:rFonts w:hint="eastAsia" w:ascii="仿宋_GB2312" w:eastAsia="仿宋_GB2312"/>
          <w:color w:val="auto"/>
          <w:sz w:val="32"/>
          <w:szCs w:val="32"/>
          <w:highlight w:val="none"/>
          <w:lang w:eastAsia="zh-CN"/>
        </w:rPr>
        <w:drawing>
          <wp:inline distT="0" distB="0" distL="114300" distR="114300">
            <wp:extent cx="4616450" cy="2883535"/>
            <wp:effectExtent l="4445" t="4445" r="14605" b="762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rPr>
          <w:rFonts w:eastAsia="仿宋_GB2312"/>
          <w:b/>
          <w:sz w:val="32"/>
          <w:szCs w:val="32"/>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eastAsia="仿宋_GB2312"/>
          <w:sz w:val="32"/>
          <w:szCs w:val="32"/>
        </w:rPr>
        <w:t>因公出国（境）支出决算与2020年持平。</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6.34</w:t>
      </w:r>
      <w:r>
        <w:rPr>
          <w:rFonts w:hint="eastAsia" w:ascii="仿宋_GB2312" w:eastAsia="仿宋_GB2312"/>
          <w:color w:val="auto"/>
          <w:sz w:val="32"/>
          <w:szCs w:val="32"/>
          <w:highlight w:val="none"/>
        </w:rPr>
        <w:t>万元,</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42.27</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4.2</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39.85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日常维护保养支出减少</w:t>
      </w:r>
      <w:r>
        <w:rPr>
          <w:rFonts w:hint="eastAsia" w:ascii="仿宋_GB2312" w:eastAsia="仿宋_GB2312"/>
          <w:color w:val="auto"/>
          <w:sz w:val="32"/>
          <w:szCs w:val="32"/>
          <w:highlight w:val="none"/>
        </w:rPr>
        <w:t>。</w:t>
      </w:r>
    </w:p>
    <w:p>
      <w:pPr>
        <w:spacing w:line="600" w:lineRule="exact"/>
        <w:ind w:firstLine="640" w:firstLineChars="20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0万元。全年按规定更新购置公务用车0辆，其中：轿车0辆、金额0万元，越野车0辆、金额0万元，载客汽车0辆、金额0万元。截至2021年12月底，单位共有公务用车</w:t>
      </w:r>
      <w:r>
        <w:rPr>
          <w:rFonts w:hint="eastAsia" w:eastAsia="仿宋_GB2312"/>
          <w:sz w:val="32"/>
          <w:szCs w:val="32"/>
          <w:lang w:val="en-US" w:eastAsia="zh-CN"/>
        </w:rPr>
        <w:t>4</w:t>
      </w:r>
      <w:r>
        <w:rPr>
          <w:rFonts w:eastAsia="仿宋_GB2312"/>
          <w:sz w:val="32"/>
          <w:szCs w:val="32"/>
        </w:rPr>
        <w:t>辆，其中：轿车</w:t>
      </w:r>
      <w:r>
        <w:rPr>
          <w:rFonts w:hint="eastAsia" w:eastAsia="仿宋_GB2312"/>
          <w:sz w:val="32"/>
          <w:szCs w:val="32"/>
          <w:lang w:val="en-US" w:eastAsia="zh-CN"/>
        </w:rPr>
        <w:t>1</w:t>
      </w:r>
      <w:r>
        <w:rPr>
          <w:rFonts w:eastAsia="仿宋_GB2312"/>
          <w:sz w:val="32"/>
          <w:szCs w:val="32"/>
        </w:rPr>
        <w:t>辆、商务车</w:t>
      </w:r>
      <w:r>
        <w:rPr>
          <w:rFonts w:hint="eastAsia" w:eastAsia="仿宋_GB2312"/>
          <w:sz w:val="32"/>
          <w:szCs w:val="32"/>
          <w:lang w:val="en-US" w:eastAsia="zh-CN"/>
        </w:rPr>
        <w:t>2</w:t>
      </w:r>
      <w:r>
        <w:rPr>
          <w:rFonts w:eastAsia="仿宋_GB2312"/>
          <w:sz w:val="32"/>
          <w:szCs w:val="32"/>
        </w:rPr>
        <w:t>辆、载客汽车</w:t>
      </w:r>
      <w:r>
        <w:rPr>
          <w:rFonts w:hint="eastAsia" w:eastAsia="仿宋_GB2312"/>
          <w:sz w:val="32"/>
          <w:szCs w:val="32"/>
          <w:lang w:val="en-US" w:eastAsia="zh-CN"/>
        </w:rPr>
        <w:t>1</w:t>
      </w:r>
      <w:r>
        <w:rPr>
          <w:rFonts w:eastAsia="仿宋_GB2312"/>
          <w:sz w:val="32"/>
          <w:szCs w:val="32"/>
        </w:rPr>
        <w:t>辆。</w:t>
      </w:r>
    </w:p>
    <w:p>
      <w:pPr>
        <w:spacing w:line="600" w:lineRule="exact"/>
        <w:ind w:firstLine="640"/>
        <w:rPr>
          <w:rFonts w:eastAsia="仿宋_GB2312"/>
          <w:sz w:val="32"/>
          <w:szCs w:val="32"/>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6.34</w:t>
      </w:r>
      <w:r>
        <w:rPr>
          <w:rFonts w:hint="eastAsia" w:ascii="仿宋_GB2312" w:eastAsia="仿宋_GB2312"/>
          <w:color w:val="auto"/>
          <w:sz w:val="32"/>
          <w:szCs w:val="32"/>
          <w:highlight w:val="none"/>
        </w:rPr>
        <w:t>万元。主要用于</w:t>
      </w:r>
      <w:r>
        <w:rPr>
          <w:rFonts w:eastAsia="仿宋_GB2312"/>
          <w:sz w:val="32"/>
          <w:szCs w:val="32"/>
        </w:rPr>
        <w:t>开展招商引资、劳务慰问</w:t>
      </w:r>
      <w:r>
        <w:rPr>
          <w:rFonts w:hint="eastAsia" w:eastAsia="仿宋_GB2312"/>
          <w:sz w:val="32"/>
          <w:szCs w:val="32"/>
          <w:lang w:val="en-US" w:eastAsia="zh-CN"/>
        </w:rPr>
        <w:t>和维权、公（商）务接待、信息调研</w:t>
      </w:r>
      <w:r>
        <w:rPr>
          <w:rFonts w:eastAsia="仿宋_GB2312"/>
          <w:sz w:val="32"/>
          <w:szCs w:val="32"/>
        </w:rPr>
        <w:t>工作等所需的公务用车燃料费、维修费、过路过桥费、保险费等支出。</w:t>
      </w:r>
    </w:p>
    <w:p>
      <w:pPr>
        <w:numPr>
          <w:ilvl w:val="0"/>
          <w:numId w:val="3"/>
        </w:numPr>
        <w:spacing w:line="600" w:lineRule="exact"/>
        <w:ind w:firstLine="640"/>
        <w:rPr>
          <w:rFonts w:hint="eastAsia" w:ascii="仿宋_GB2312" w:eastAsia="仿宋_GB2312"/>
          <w:color w:val="auto"/>
          <w:sz w:val="32"/>
          <w:szCs w:val="32"/>
          <w:highlight w:val="none"/>
          <w:lang w:val="en-US" w:eastAsia="zh-CN"/>
        </w:rPr>
      </w:pP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21.57</w:t>
      </w:r>
      <w:r>
        <w:rPr>
          <w:rFonts w:hint="eastAsia" w:ascii="仿宋_GB2312" w:eastAsia="仿宋_GB2312"/>
          <w:color w:val="auto"/>
          <w:sz w:val="32"/>
          <w:szCs w:val="32"/>
          <w:highlight w:val="none"/>
        </w:rPr>
        <w:t>万元，</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79.89</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3.05</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16.47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本年开展了南向开放合作项目推介会、返乡创业投资推介会、四川中日韩（乐山）项目推介会等活动，接待事项增加。</w:t>
      </w:r>
    </w:p>
    <w:p>
      <w:pPr>
        <w:numPr>
          <w:ilvl w:val="0"/>
          <w:numId w:val="0"/>
        </w:num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其中：</w:t>
      </w: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21.57</w:t>
      </w:r>
      <w:r>
        <w:rPr>
          <w:rFonts w:hint="eastAsia" w:ascii="仿宋_GB2312" w:eastAsia="仿宋_GB2312"/>
          <w:color w:val="auto"/>
          <w:sz w:val="32"/>
          <w:szCs w:val="32"/>
          <w:highlight w:val="none"/>
        </w:rPr>
        <w:t>万元，主要用于开展投资促进活动、</w:t>
      </w:r>
      <w:r>
        <w:rPr>
          <w:rFonts w:hint="eastAsia" w:ascii="仿宋_GB2312" w:eastAsia="仿宋_GB2312"/>
          <w:color w:val="auto"/>
          <w:sz w:val="32"/>
          <w:szCs w:val="32"/>
          <w:highlight w:val="none"/>
          <w:lang w:val="en-US" w:eastAsia="zh-CN"/>
        </w:rPr>
        <w:t>农民工服务保障工作等</w:t>
      </w:r>
      <w:r>
        <w:rPr>
          <w:rFonts w:hint="eastAsia" w:ascii="仿宋_GB2312" w:eastAsia="仿宋_GB2312"/>
          <w:color w:val="auto"/>
          <w:sz w:val="32"/>
          <w:szCs w:val="32"/>
          <w:highlight w:val="none"/>
        </w:rPr>
        <w:t xml:space="preserve">业务活动开支的交通费、住宿费、用餐费等。国内公务（商务）接待 </w:t>
      </w:r>
      <w:r>
        <w:rPr>
          <w:rFonts w:hint="eastAsia" w:ascii="仿宋_GB2312" w:eastAsia="仿宋_GB2312"/>
          <w:color w:val="auto"/>
          <w:sz w:val="32"/>
          <w:szCs w:val="32"/>
          <w:highlight w:val="none"/>
          <w:lang w:val="en-US" w:eastAsia="zh-CN"/>
        </w:rPr>
        <w:t>72</w:t>
      </w:r>
      <w:r>
        <w:rPr>
          <w:rFonts w:hint="eastAsia" w:ascii="仿宋_GB2312" w:eastAsia="仿宋_GB2312"/>
          <w:color w:val="auto"/>
          <w:sz w:val="32"/>
          <w:szCs w:val="32"/>
          <w:highlight w:val="none"/>
        </w:rPr>
        <w:t>批次，约</w:t>
      </w:r>
      <w:r>
        <w:rPr>
          <w:rFonts w:hint="eastAsia" w:ascii="仿宋_GB2312" w:eastAsia="仿宋_GB2312"/>
          <w:color w:val="auto"/>
          <w:sz w:val="32"/>
          <w:szCs w:val="32"/>
          <w:highlight w:val="none"/>
          <w:lang w:val="en-US" w:eastAsia="zh-CN"/>
        </w:rPr>
        <w:t>1165</w:t>
      </w:r>
      <w:r>
        <w:rPr>
          <w:rFonts w:hint="eastAsia" w:ascii="仿宋_GB2312" w:eastAsia="仿宋_GB2312"/>
          <w:color w:val="auto"/>
          <w:sz w:val="32"/>
          <w:szCs w:val="32"/>
          <w:highlight w:val="none"/>
        </w:rPr>
        <w:t xml:space="preserve"> 人次（不包括陪同人员），共计支出</w:t>
      </w:r>
      <w:r>
        <w:rPr>
          <w:rFonts w:hint="eastAsia" w:ascii="仿宋_GB2312" w:eastAsia="仿宋_GB2312"/>
          <w:color w:val="auto"/>
          <w:sz w:val="32"/>
          <w:szCs w:val="32"/>
          <w:highlight w:val="none"/>
          <w:lang w:val="en-US" w:eastAsia="zh-CN"/>
        </w:rPr>
        <w:t>21.57</w:t>
      </w:r>
      <w:r>
        <w:rPr>
          <w:rFonts w:hint="eastAsia" w:ascii="仿宋_GB2312" w:eastAsia="仿宋_GB2312"/>
          <w:color w:val="auto"/>
          <w:sz w:val="32"/>
          <w:szCs w:val="32"/>
          <w:highlight w:val="none"/>
        </w:rPr>
        <w:t>万元，具体内容包括：202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知名企业四川行、</w:t>
      </w:r>
      <w:r>
        <w:rPr>
          <w:rFonts w:eastAsia="仿宋_GB2312"/>
          <w:sz w:val="32"/>
          <w:szCs w:val="32"/>
        </w:rPr>
        <w:t>第十八届西博会等系列重大投资促进活动</w:t>
      </w:r>
      <w:r>
        <w:rPr>
          <w:rFonts w:hint="eastAsia" w:eastAsia="仿宋_GB2312"/>
          <w:sz w:val="32"/>
          <w:szCs w:val="32"/>
          <w:lang w:eastAsia="zh-CN"/>
        </w:rPr>
        <w:t>、</w:t>
      </w:r>
      <w:r>
        <w:rPr>
          <w:rFonts w:hint="eastAsia" w:ascii="仿宋_GB2312" w:eastAsia="仿宋_GB2312"/>
          <w:color w:val="auto"/>
          <w:sz w:val="32"/>
          <w:szCs w:val="32"/>
          <w:highlight w:val="none"/>
        </w:rPr>
        <w:t>厦门国际投资洽谈会、</w:t>
      </w:r>
      <w:r>
        <w:rPr>
          <w:rFonts w:hint="eastAsia" w:ascii="仿宋_GB2312" w:eastAsia="仿宋_GB2312"/>
          <w:color w:val="auto"/>
          <w:sz w:val="32"/>
          <w:szCs w:val="32"/>
          <w:highlight w:val="none"/>
          <w:lang w:val="en-US" w:eastAsia="zh-CN"/>
        </w:rPr>
        <w:t>南向开放合作项目推介会、川商返乡创业投资推介会、四川中日韩（乐山）项目推介会、</w:t>
      </w:r>
      <w:r>
        <w:rPr>
          <w:rStyle w:val="35"/>
          <w:rFonts w:hint="default" w:ascii="Times New Roman" w:hAnsi="Times New Roman" w:eastAsia="仿宋_GB2312" w:cs="Times New Roman"/>
          <w:sz w:val="32"/>
          <w:szCs w:val="32"/>
          <w:lang w:val="en-US" w:eastAsia="zh-CN"/>
        </w:rPr>
        <w:t>成渝双城经济圈推介会</w:t>
      </w:r>
      <w:r>
        <w:rPr>
          <w:rFonts w:hint="eastAsia" w:ascii="仿宋_GB2312" w:eastAsia="仿宋_GB2312"/>
          <w:color w:val="auto"/>
          <w:sz w:val="32"/>
          <w:szCs w:val="32"/>
          <w:highlight w:val="none"/>
          <w:lang w:val="en-US" w:eastAsia="zh-CN"/>
        </w:rPr>
        <w:t>等活动，</w:t>
      </w:r>
      <w:r>
        <w:rPr>
          <w:rFonts w:hint="eastAsia" w:ascii="仿宋_GB2312" w:eastAsia="仿宋_GB2312"/>
          <w:color w:val="auto"/>
          <w:sz w:val="32"/>
          <w:szCs w:val="32"/>
          <w:highlight w:val="none"/>
        </w:rPr>
        <w:t>以及日常开展投资促进工作、劳务接待工作</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信息调研工作等产生的接待费</w:t>
      </w:r>
      <w:r>
        <w:rPr>
          <w:rFonts w:hint="eastAsia" w:ascii="仿宋_GB2312" w:eastAsia="仿宋_GB2312"/>
          <w:color w:val="auto"/>
          <w:sz w:val="32"/>
          <w:szCs w:val="32"/>
          <w:highlight w:val="none"/>
          <w:lang w:eastAsia="zh-CN"/>
        </w:rPr>
        <w:t>。</w:t>
      </w:r>
    </w:p>
    <w:p>
      <w:pPr>
        <w:spacing w:line="600" w:lineRule="exact"/>
        <w:ind w:firstLine="643" w:firstLineChars="200"/>
        <w:rPr>
          <w:rFonts w:hint="eastAsia" w:ascii="仿宋_GB2312" w:eastAsia="仿宋_GB2312"/>
          <w:color w:val="auto"/>
          <w:sz w:val="32"/>
          <w:szCs w:val="32"/>
          <w:highlight w:val="none"/>
          <w:lang w:val="en-US"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0"/>
        <w:outlineLvl w:val="1"/>
        <w:rPr>
          <w:rStyle w:val="30"/>
          <w:rFonts w:ascii="黑体" w:hAnsi="黑体" w:eastAsia="黑体"/>
          <w:color w:val="auto"/>
          <w:highlight w:val="none"/>
        </w:rPr>
      </w:pPr>
      <w:bookmarkStart w:id="61" w:name="_Toc15377218"/>
      <w:bookmarkStart w:id="62" w:name="_Toc15396610"/>
      <w:bookmarkStart w:id="63" w:name="_Toc31287"/>
      <w:r>
        <w:rPr>
          <w:rFonts w:hint="eastAsia" w:ascii="黑体" w:eastAsia="黑体"/>
          <w:color w:val="auto"/>
          <w:sz w:val="32"/>
          <w:szCs w:val="32"/>
          <w:highlight w:val="none"/>
        </w:rPr>
        <w:t>八、</w:t>
      </w:r>
      <w:r>
        <w:rPr>
          <w:rStyle w:val="30"/>
          <w:rFonts w:hint="eastAsia" w:ascii="黑体" w:hAnsi="黑体" w:eastAsia="黑体"/>
          <w:b w:val="0"/>
          <w:color w:val="auto"/>
          <w:highlight w:val="none"/>
        </w:rPr>
        <w:t>政府性基金预算支出决算情况说明</w:t>
      </w:r>
      <w:bookmarkEnd w:id="61"/>
      <w:bookmarkEnd w:id="62"/>
      <w:bookmarkEnd w:id="6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4"/>
        </w:numPr>
        <w:spacing w:line="600" w:lineRule="exact"/>
        <w:ind w:firstLine="640"/>
        <w:outlineLvl w:val="1"/>
        <w:rPr>
          <w:rStyle w:val="30"/>
          <w:rFonts w:ascii="黑体" w:hAnsi="黑体" w:eastAsia="黑体"/>
          <w:b w:val="0"/>
          <w:color w:val="auto"/>
          <w:highlight w:val="none"/>
        </w:rPr>
      </w:pPr>
      <w:bookmarkStart w:id="64" w:name="_Toc15377219"/>
      <w:bookmarkStart w:id="65" w:name="_Toc15396611"/>
      <w:bookmarkStart w:id="66" w:name="_Toc8255"/>
      <w:r>
        <w:rPr>
          <w:rStyle w:val="30"/>
          <w:rFonts w:hint="eastAsia" w:ascii="黑体" w:hAnsi="黑体" w:eastAsia="黑体"/>
          <w:b w:val="0"/>
          <w:color w:val="auto"/>
          <w:highlight w:val="none"/>
        </w:rPr>
        <w:t>国有资本经营预算支出决算情况说明</w:t>
      </w:r>
      <w:bookmarkEnd w:id="64"/>
      <w:bookmarkEnd w:id="65"/>
      <w:bookmarkEnd w:id="66"/>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4"/>
        </w:numPr>
        <w:spacing w:line="600" w:lineRule="exact"/>
        <w:ind w:firstLine="640"/>
        <w:outlineLvl w:val="1"/>
        <w:rPr>
          <w:rStyle w:val="30"/>
          <w:rFonts w:hint="eastAsia" w:ascii="黑体" w:hAnsi="黑体" w:eastAsia="黑体"/>
          <w:b w:val="0"/>
          <w:color w:val="auto"/>
          <w:highlight w:val="none"/>
        </w:rPr>
      </w:pPr>
      <w:bookmarkStart w:id="67" w:name="_Toc15396612"/>
      <w:bookmarkStart w:id="68" w:name="_Toc15377221"/>
      <w:bookmarkStart w:id="69" w:name="_Toc466"/>
      <w:r>
        <w:rPr>
          <w:rStyle w:val="30"/>
          <w:rFonts w:hint="eastAsia" w:ascii="黑体" w:hAnsi="黑体" w:eastAsia="黑体"/>
          <w:b w:val="0"/>
          <w:color w:val="auto"/>
          <w:highlight w:val="none"/>
        </w:rPr>
        <w:t>其他重要事项的情况说明</w:t>
      </w:r>
      <w:bookmarkEnd w:id="67"/>
      <w:bookmarkEnd w:id="68"/>
      <w:bookmarkEnd w:id="69"/>
    </w:p>
    <w:p>
      <w:pPr>
        <w:spacing w:line="600" w:lineRule="exact"/>
        <w:ind w:firstLine="643" w:firstLineChars="200"/>
        <w:outlineLvl w:val="2"/>
        <w:rPr>
          <w:rFonts w:ascii="仿宋" w:hAnsi="仿宋" w:eastAsia="仿宋"/>
          <w:color w:val="auto"/>
          <w:sz w:val="32"/>
          <w:szCs w:val="32"/>
          <w:highlight w:val="none"/>
        </w:rPr>
      </w:pPr>
      <w:bookmarkStart w:id="70" w:name="_Toc15377222"/>
      <w:r>
        <w:rPr>
          <w:rFonts w:hint="eastAsia" w:ascii="仿宋" w:hAnsi="仿宋" w:eastAsia="仿宋"/>
          <w:b/>
          <w:color w:val="auto"/>
          <w:sz w:val="32"/>
          <w:szCs w:val="32"/>
          <w:highlight w:val="none"/>
        </w:rPr>
        <w:t>（一）机关运行经费支出情况</w:t>
      </w:r>
      <w:bookmarkEnd w:id="70"/>
    </w:p>
    <w:p>
      <w:pPr>
        <w:spacing w:line="600" w:lineRule="exact"/>
        <w:ind w:firstLine="640" w:firstLineChars="200"/>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省政府驻厦门办事处</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162.19</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15.15</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10.3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本年度增加了四川中日韩（乐山）项目推介会、</w:t>
      </w:r>
      <w:r>
        <w:rPr>
          <w:rStyle w:val="35"/>
          <w:rFonts w:hint="default" w:ascii="Times New Roman" w:hAnsi="Times New Roman" w:eastAsia="仿宋_GB2312" w:cs="Times New Roman"/>
          <w:sz w:val="32"/>
          <w:szCs w:val="32"/>
          <w:lang w:val="en-US" w:eastAsia="zh-CN"/>
        </w:rPr>
        <w:t>成渝双城经济圈推介会</w:t>
      </w:r>
      <w:r>
        <w:rPr>
          <w:rFonts w:hint="eastAsia" w:ascii="仿宋_GB2312" w:eastAsia="仿宋_GB2312"/>
          <w:color w:val="auto"/>
          <w:sz w:val="32"/>
          <w:szCs w:val="32"/>
          <w:highlight w:val="none"/>
          <w:lang w:val="en-US" w:eastAsia="zh-CN"/>
        </w:rPr>
        <w:t>等活动，支出相应增加。</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1" w:name="_Toc15377223"/>
      <w:r>
        <w:rPr>
          <w:rFonts w:hint="eastAsia" w:ascii="仿宋" w:hAnsi="仿宋" w:eastAsia="仿宋"/>
          <w:b/>
          <w:color w:val="auto"/>
          <w:sz w:val="32"/>
          <w:szCs w:val="32"/>
          <w:highlight w:val="none"/>
        </w:rPr>
        <w:t>（二）政府采购支出情况</w:t>
      </w:r>
      <w:bookmarkEnd w:id="71"/>
    </w:p>
    <w:p>
      <w:pPr>
        <w:keepNext w:val="0"/>
        <w:keepLines w:val="0"/>
        <w:widowControl/>
        <w:suppressLineNumbers w:val="0"/>
        <w:ind w:firstLine="640" w:firstLineChars="200"/>
        <w:jc w:val="left"/>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省政府驻厦门办事处</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6.25</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3.29</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2.96</w:t>
      </w:r>
      <w:r>
        <w:rPr>
          <w:rFonts w:hint="eastAsia" w:ascii="仿宋_GB2312" w:eastAsia="仿宋_GB2312"/>
          <w:color w:val="auto"/>
          <w:sz w:val="32"/>
          <w:szCs w:val="32"/>
          <w:highlight w:val="none"/>
        </w:rPr>
        <w:t>万元。</w:t>
      </w:r>
      <w:r>
        <w:rPr>
          <w:rFonts w:ascii="仿宋" w:hAnsi="仿宋" w:eastAsia="仿宋" w:cs="仿宋"/>
          <w:color w:val="000000"/>
          <w:kern w:val="0"/>
          <w:sz w:val="31"/>
          <w:szCs w:val="31"/>
          <w:lang w:val="en-US" w:eastAsia="zh-CN" w:bidi="ar"/>
        </w:rPr>
        <w:t>主要用于车辆维修保</w:t>
      </w:r>
      <w:r>
        <w:rPr>
          <w:rFonts w:hint="eastAsia" w:ascii="仿宋" w:hAnsi="仿宋" w:eastAsia="仿宋" w:cs="仿宋"/>
          <w:color w:val="000000"/>
          <w:kern w:val="0"/>
          <w:sz w:val="31"/>
          <w:szCs w:val="31"/>
          <w:lang w:val="en-US" w:eastAsia="zh-CN" w:bidi="ar"/>
        </w:rPr>
        <w:t>养、燃油费、保险费以及设备购置等支出。</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96</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96</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2" w:name="_Toc15377224"/>
      <w:r>
        <w:rPr>
          <w:rFonts w:hint="eastAsia" w:ascii="仿宋" w:hAnsi="仿宋" w:eastAsia="仿宋"/>
          <w:b/>
          <w:color w:val="auto"/>
          <w:sz w:val="32"/>
          <w:szCs w:val="32"/>
          <w:highlight w:val="none"/>
        </w:rPr>
        <w:t>（三）国有资产占有使用情况</w:t>
      </w:r>
      <w:bookmarkEnd w:id="72"/>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省政府驻厦门办事处</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离退休干部用车1辆。其</w:t>
      </w:r>
      <w:r>
        <w:rPr>
          <w:rFonts w:hint="eastAsia" w:ascii="仿宋_GB2312" w:eastAsia="仿宋_GB2312"/>
          <w:color w:val="auto"/>
          <w:sz w:val="32"/>
          <w:szCs w:val="32"/>
          <w:highlight w:val="none"/>
        </w:rPr>
        <w:t>他用车主要是用于</w:t>
      </w:r>
      <w:r>
        <w:rPr>
          <w:rFonts w:hint="eastAsia" w:ascii="仿宋_GB2312" w:eastAsia="仿宋_GB2312"/>
          <w:color w:val="auto"/>
          <w:sz w:val="32"/>
          <w:szCs w:val="32"/>
          <w:highlight w:val="none"/>
          <w:lang w:val="en-US" w:eastAsia="zh-CN"/>
        </w:rPr>
        <w:t>公（商）务接待。</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根据预算绩效管理要求，本单位在</w:t>
      </w:r>
      <w:r>
        <w:rPr>
          <w:rFonts w:hint="eastAsia" w:ascii="仿宋_GB2312" w:hAnsi="仿宋_GB2312" w:eastAsia="仿宋_GB2312" w:cs="仿宋_GB2312"/>
          <w:b w:val="0"/>
          <w:bCs w:val="0"/>
          <w:color w:val="auto"/>
          <w:sz w:val="32"/>
          <w:szCs w:val="32"/>
          <w:highlight w:val="none"/>
          <w:lang w:val="en-US" w:eastAsia="zh-CN"/>
        </w:rPr>
        <w:t>2021年度</w:t>
      </w:r>
      <w:r>
        <w:rPr>
          <w:rFonts w:hint="eastAsia" w:ascii="仿宋_GB2312" w:hAnsi="仿宋_GB2312" w:eastAsia="仿宋_GB2312" w:cs="仿宋_GB2312"/>
          <w:b w:val="0"/>
          <w:bCs w:val="0"/>
          <w:color w:val="auto"/>
          <w:sz w:val="32"/>
          <w:szCs w:val="32"/>
          <w:highlight w:val="none"/>
        </w:rPr>
        <w:t>预算编制阶段，组织对</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项目（项目名称）</w:t>
      </w:r>
      <w:r>
        <w:rPr>
          <w:rFonts w:hint="eastAsia" w:ascii="仿宋_GB2312" w:hAnsi="仿宋_GB2312" w:eastAsia="仿宋_GB2312" w:cs="仿宋_GB2312"/>
          <w:b w:val="0"/>
          <w:bCs w:val="0"/>
          <w:color w:val="auto"/>
          <w:sz w:val="32"/>
          <w:szCs w:val="32"/>
          <w:highlight w:val="none"/>
          <w:lang w:eastAsia="zh-CN"/>
        </w:rPr>
        <w:t>等</w:t>
      </w:r>
      <w:r>
        <w:rPr>
          <w:rFonts w:hint="eastAsia" w:ascii="仿宋_GB2312" w:hAnsi="仿宋_GB2312" w:eastAsia="仿宋_GB2312" w:cs="仿宋_GB2312"/>
          <w:b w:val="0"/>
          <w:bCs w:val="0"/>
          <w:color w:val="auto"/>
          <w:sz w:val="32"/>
          <w:szCs w:val="32"/>
          <w:highlight w:val="none"/>
          <w:lang w:val="en-US" w:eastAsia="zh-CN"/>
        </w:rPr>
        <w:t>0项目</w:t>
      </w:r>
      <w:r>
        <w:rPr>
          <w:rFonts w:hint="eastAsia" w:ascii="仿宋_GB2312" w:hAnsi="仿宋_GB2312" w:eastAsia="仿宋_GB2312" w:cs="仿宋_GB2312"/>
          <w:b w:val="0"/>
          <w:bCs w:val="0"/>
          <w:color w:val="auto"/>
          <w:sz w:val="32"/>
          <w:szCs w:val="32"/>
          <w:highlight w:val="none"/>
        </w:rPr>
        <w:t>开展了预算事前绩效评估，对</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个项目编制了绩效目标，预算执行过程中，选取</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个项目开展绩效监控，年终执行完毕后，对</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个项目开展了绩效自评</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b w:val="0"/>
          <w:bCs w:val="0"/>
          <w:color w:val="auto"/>
          <w:sz w:val="32"/>
          <w:szCs w:val="32"/>
          <w:highlight w:val="none"/>
        </w:rPr>
        <w:t>。</w:t>
      </w: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29"/>
          <w:rFonts w:ascii="黑体" w:hAnsi="黑体" w:eastAsia="黑体"/>
          <w:b w:val="0"/>
          <w:color w:val="auto"/>
          <w:highlight w:val="none"/>
        </w:rPr>
      </w:pPr>
      <w:bookmarkStart w:id="73" w:name="_Toc15396613"/>
      <w:bookmarkStart w:id="74" w:name="_Toc15377225"/>
      <w:bookmarkStart w:id="75" w:name="_Toc19335"/>
      <w:r>
        <w:rPr>
          <w:rFonts w:hint="eastAsia" w:ascii="黑体" w:hAnsi="黑体" w:eastAsia="黑体"/>
          <w:color w:val="auto"/>
          <w:sz w:val="44"/>
          <w:szCs w:val="44"/>
          <w:highlight w:val="none"/>
        </w:rPr>
        <w:t>名</w:t>
      </w:r>
      <w:r>
        <w:rPr>
          <w:rStyle w:val="29"/>
          <w:rFonts w:hint="eastAsia" w:ascii="黑体" w:hAnsi="黑体" w:eastAsia="黑体"/>
          <w:b w:val="0"/>
          <w:color w:val="auto"/>
          <w:highlight w:val="none"/>
        </w:rPr>
        <w:t>词解释</w:t>
      </w:r>
      <w:bookmarkEnd w:id="73"/>
      <w:bookmarkEnd w:id="74"/>
      <w:bookmarkEnd w:id="75"/>
    </w:p>
    <w:p>
      <w:pPr>
        <w:spacing w:line="600" w:lineRule="exact"/>
        <w:jc w:val="left"/>
        <w:rPr>
          <w:rFonts w:ascii="宋体"/>
          <w:b/>
          <w:color w:val="auto"/>
          <w:sz w:val="44"/>
          <w:szCs w:val="44"/>
          <w:highlight w:val="none"/>
        </w:rPr>
      </w:pPr>
    </w:p>
    <w:p>
      <w:pPr>
        <w:spacing w:line="600" w:lineRule="exact"/>
        <w:ind w:firstLine="640"/>
        <w:rPr>
          <w:rFonts w:eastAsia="仿宋_GB2312"/>
          <w:sz w:val="32"/>
          <w:szCs w:val="32"/>
        </w:rPr>
      </w:pPr>
      <w:r>
        <w:rPr>
          <w:rFonts w:eastAsia="仿宋_GB2312"/>
          <w:sz w:val="32"/>
          <w:szCs w:val="32"/>
        </w:rPr>
        <w:t>1.</w:t>
      </w:r>
      <w:r>
        <w:rPr>
          <w:rFonts w:hint="eastAsia" w:eastAsia="仿宋_GB2312"/>
          <w:sz w:val="32"/>
          <w:szCs w:val="32"/>
        </w:rPr>
        <w:t>财政拨款收入：指单位从同级财政部门取得的财政预算资金。</w:t>
      </w:r>
    </w:p>
    <w:p>
      <w:pPr>
        <w:spacing w:line="600" w:lineRule="exact"/>
        <w:ind w:firstLine="640"/>
        <w:rPr>
          <w:rFonts w:eastAsia="仿宋_GB2312"/>
          <w:sz w:val="32"/>
          <w:szCs w:val="32"/>
        </w:rPr>
      </w:pPr>
      <w:r>
        <w:rPr>
          <w:rFonts w:hint="eastAsia" w:eastAsia="仿宋_GB2312"/>
          <w:sz w:val="32"/>
          <w:szCs w:val="32"/>
        </w:rPr>
        <w:t>2</w:t>
      </w:r>
      <w:r>
        <w:rPr>
          <w:rFonts w:eastAsia="仿宋_GB2312"/>
          <w:sz w:val="32"/>
          <w:szCs w:val="32"/>
        </w:rPr>
        <w:t>.</w:t>
      </w:r>
      <w:r>
        <w:rPr>
          <w:rFonts w:hint="eastAsia" w:eastAsia="仿宋_GB2312"/>
          <w:sz w:val="32"/>
          <w:szCs w:val="32"/>
        </w:rPr>
        <w:t>年初结转和结余：指以前年度尚未完成、结转到本年按有关规定继续使用的资金。</w:t>
      </w:r>
    </w:p>
    <w:p>
      <w:pPr>
        <w:spacing w:line="600" w:lineRule="exact"/>
        <w:ind w:firstLine="640"/>
        <w:rPr>
          <w:rFonts w:eastAsia="仿宋_GB2312"/>
          <w:sz w:val="32"/>
          <w:szCs w:val="32"/>
        </w:rPr>
      </w:pPr>
      <w:r>
        <w:rPr>
          <w:rFonts w:hint="eastAsia" w:eastAsia="仿宋_GB2312"/>
          <w:sz w:val="32"/>
          <w:szCs w:val="32"/>
        </w:rPr>
        <w:t>3</w:t>
      </w:r>
      <w:r>
        <w:rPr>
          <w:rFonts w:eastAsia="仿宋_GB2312"/>
          <w:sz w:val="32"/>
          <w:szCs w:val="32"/>
        </w:rPr>
        <w:t>.</w:t>
      </w:r>
      <w:r>
        <w:rPr>
          <w:rFonts w:hint="eastAsia" w:eastAsia="仿宋_GB2312"/>
          <w:sz w:val="32"/>
          <w:szCs w:val="32"/>
        </w:rPr>
        <w:t>结余分配：指事业单位按照会计制度规定缴纳的所得税、提取的专用结余以及转入非财政拨款结余的金额等。</w:t>
      </w:r>
    </w:p>
    <w:p>
      <w:pPr>
        <w:spacing w:line="600" w:lineRule="exact"/>
        <w:ind w:firstLine="640"/>
        <w:rPr>
          <w:rFonts w:eastAsia="仿宋_GB2312"/>
          <w:sz w:val="32"/>
          <w:szCs w:val="32"/>
        </w:rPr>
      </w:pPr>
      <w:r>
        <w:rPr>
          <w:rFonts w:hint="eastAsia" w:eastAsia="仿宋_GB2312"/>
          <w:sz w:val="32"/>
          <w:szCs w:val="32"/>
        </w:rPr>
        <w:t>4.年末结转和结余：指单位按有关规定结转到下年或以后年度继续使用的资金。</w:t>
      </w:r>
    </w:p>
    <w:p>
      <w:pPr>
        <w:spacing w:line="600" w:lineRule="exact"/>
        <w:ind w:firstLine="640"/>
        <w:rPr>
          <w:rFonts w:eastAsia="仿宋_GB2312"/>
          <w:sz w:val="32"/>
          <w:szCs w:val="32"/>
        </w:rPr>
      </w:pPr>
      <w:r>
        <w:rPr>
          <w:rFonts w:eastAsia="仿宋_GB2312"/>
          <w:sz w:val="32"/>
          <w:szCs w:val="32"/>
        </w:rPr>
        <w:t xml:space="preserve">5.一般公共服务（类）商贸事务（款）行政运行（项）: 指用于保障机构正常运行、开展日常工作的基本支出。 </w:t>
      </w:r>
    </w:p>
    <w:p>
      <w:pPr>
        <w:spacing w:line="600" w:lineRule="exact"/>
        <w:ind w:firstLine="640"/>
        <w:rPr>
          <w:rFonts w:eastAsia="仿宋_GB2312"/>
          <w:sz w:val="32"/>
          <w:szCs w:val="32"/>
        </w:rPr>
      </w:pPr>
      <w:r>
        <w:rPr>
          <w:rFonts w:eastAsia="仿宋_GB2312"/>
          <w:sz w:val="32"/>
          <w:szCs w:val="32"/>
        </w:rPr>
        <w:t xml:space="preserve">6.一般公共服务（类）商贸事务（款）一般行政管理事 务（项）: 指反映行政单位（包括实行公务员管理的事业单 位）未单独设置项级科目的其他项目支出。 </w:t>
      </w:r>
    </w:p>
    <w:p>
      <w:pPr>
        <w:spacing w:line="600" w:lineRule="exact"/>
        <w:ind w:firstLine="640"/>
        <w:rPr>
          <w:rFonts w:eastAsia="仿宋_GB2312"/>
          <w:sz w:val="32"/>
          <w:szCs w:val="32"/>
        </w:rPr>
      </w:pPr>
      <w:r>
        <w:rPr>
          <w:rFonts w:eastAsia="仿宋_GB2312"/>
          <w:sz w:val="32"/>
          <w:szCs w:val="32"/>
        </w:rPr>
        <w:t>7.一般公共服务（类）商贸事务（款）招商引资（项）: 指反映用于招商引资、优化经济环境等方面的支出。</w:t>
      </w:r>
    </w:p>
    <w:p>
      <w:pPr>
        <w:spacing w:line="600" w:lineRule="exact"/>
        <w:ind w:firstLine="640"/>
        <w:rPr>
          <w:rFonts w:eastAsia="仿宋_GB2312"/>
          <w:sz w:val="32"/>
          <w:szCs w:val="32"/>
        </w:rPr>
      </w:pPr>
      <w:r>
        <w:rPr>
          <w:rFonts w:hint="eastAsia" w:eastAsia="仿宋_GB2312"/>
          <w:sz w:val="32"/>
          <w:szCs w:val="32"/>
        </w:rPr>
        <w:t xml:space="preserve">8.社会保障和就业（类）行政事业单位养老支出（款）未 归口管理的行政单位离退休（项）: 指反映未实行归口管理 的行政单位（包括实行公务员管理的事业单位）开支的离退 休支出。 </w:t>
      </w:r>
    </w:p>
    <w:p>
      <w:pPr>
        <w:spacing w:line="600" w:lineRule="exact"/>
        <w:ind w:firstLine="640"/>
        <w:rPr>
          <w:rFonts w:eastAsia="仿宋_GB2312"/>
          <w:sz w:val="32"/>
          <w:szCs w:val="32"/>
        </w:rPr>
      </w:pPr>
      <w:r>
        <w:rPr>
          <w:rFonts w:hint="eastAsia" w:eastAsia="仿宋_GB2312"/>
          <w:sz w:val="32"/>
          <w:szCs w:val="32"/>
        </w:rPr>
        <w:t>9.社会保障和就业（类）行政事业单位养老支出（款）机 关事业单位基本养老保险缴费支出（项）: 指反映机关事业 单位实施养老保险制度由单位缴纳的基本保险费支出。</w:t>
      </w:r>
    </w:p>
    <w:p>
      <w:pPr>
        <w:spacing w:line="600" w:lineRule="exact"/>
        <w:ind w:firstLine="640"/>
        <w:rPr>
          <w:rFonts w:eastAsia="仿宋_GB2312"/>
          <w:sz w:val="32"/>
          <w:szCs w:val="32"/>
        </w:rPr>
      </w:pPr>
      <w:r>
        <w:rPr>
          <w:rFonts w:hint="eastAsia" w:eastAsia="仿宋_GB2312"/>
          <w:sz w:val="32"/>
          <w:szCs w:val="32"/>
        </w:rPr>
        <w:t xml:space="preserve">10.卫生健康支出（类）行政事业单位医疗（款）行政单 位医疗（项）: 指反映财政部门集中安排的行政单位基本医 疗保险缴费经费，未参加医疗保险的行政单位的公费医疗经 费，按国家规定享受离休人员、红军老战士待遇人员的医疗 经费。 </w:t>
      </w:r>
    </w:p>
    <w:p>
      <w:pPr>
        <w:spacing w:line="600" w:lineRule="exact"/>
        <w:ind w:firstLine="640"/>
        <w:rPr>
          <w:rFonts w:eastAsia="仿宋_GB2312"/>
          <w:sz w:val="32"/>
          <w:szCs w:val="32"/>
        </w:rPr>
      </w:pPr>
      <w:r>
        <w:rPr>
          <w:rFonts w:hint="eastAsia" w:eastAsia="仿宋_GB2312"/>
          <w:sz w:val="32"/>
          <w:szCs w:val="32"/>
        </w:rPr>
        <w:t xml:space="preserve">11.卫生健康支出（类）行政事业单位医疗（款）事业单 位医疗（项）: 指反映财政部门集中安排的事业单位基本医 疗保险缴费经费，未参加医疗保险的事业单位的公费医疗经 费，按国家规定享受离休人员待遇的医疗经费。 </w:t>
      </w:r>
    </w:p>
    <w:p>
      <w:pPr>
        <w:spacing w:line="600" w:lineRule="exact"/>
        <w:ind w:firstLine="640"/>
        <w:rPr>
          <w:rFonts w:eastAsia="仿宋_GB2312"/>
          <w:sz w:val="32"/>
          <w:szCs w:val="32"/>
        </w:rPr>
      </w:pPr>
      <w:r>
        <w:rPr>
          <w:rFonts w:hint="eastAsia" w:eastAsia="仿宋_GB2312"/>
          <w:sz w:val="32"/>
          <w:szCs w:val="32"/>
        </w:rPr>
        <w:t xml:space="preserve">12.卫生健康支出（类）行政事业单位医疗（款）公务员 医疗补助（项）: 指反映财政部门集中安排的公务员医疗补 助经费。 </w:t>
      </w:r>
    </w:p>
    <w:p>
      <w:pPr>
        <w:spacing w:line="600" w:lineRule="exact"/>
        <w:ind w:firstLine="640"/>
        <w:rPr>
          <w:rFonts w:eastAsia="仿宋_GB2312"/>
          <w:sz w:val="32"/>
          <w:szCs w:val="32"/>
        </w:rPr>
      </w:pPr>
      <w:r>
        <w:rPr>
          <w:rFonts w:hint="eastAsia" w:eastAsia="仿宋_GB2312"/>
          <w:sz w:val="32"/>
          <w:szCs w:val="32"/>
        </w:rPr>
        <w:t>13.住房保障支出（类）住房改革（款）住房公积金（项）: 指反映行政事业单位按人力资源和社会保障部、财政部规定 的基本工资和津贴补贴以及规定比例为职工缴纳的住房公 积金。</w:t>
      </w:r>
    </w:p>
    <w:p>
      <w:pPr>
        <w:spacing w:line="600" w:lineRule="exact"/>
        <w:ind w:firstLine="640"/>
        <w:rPr>
          <w:rFonts w:eastAsia="仿宋_GB2312"/>
          <w:sz w:val="32"/>
          <w:szCs w:val="32"/>
        </w:rPr>
      </w:pPr>
      <w:r>
        <w:rPr>
          <w:rFonts w:hint="eastAsia" w:eastAsia="仿宋_GB2312"/>
          <w:sz w:val="32"/>
          <w:szCs w:val="32"/>
        </w:rPr>
        <w:t>14</w:t>
      </w:r>
      <w:r>
        <w:rPr>
          <w:rFonts w:eastAsia="仿宋_GB2312"/>
          <w:sz w:val="32"/>
          <w:szCs w:val="32"/>
        </w:rPr>
        <w:t>.</w:t>
      </w:r>
      <w:r>
        <w:rPr>
          <w:rFonts w:hint="eastAsia" w:eastAsia="仿宋_GB2312"/>
          <w:sz w:val="32"/>
          <w:szCs w:val="32"/>
        </w:rPr>
        <w:t>基本支出：指为保障机构正常运转、完成日常工作任务而发生的人员支出和公用支出。</w:t>
      </w:r>
    </w:p>
    <w:p>
      <w:pPr>
        <w:spacing w:line="600" w:lineRule="exact"/>
        <w:ind w:firstLine="640"/>
        <w:rPr>
          <w:rFonts w:eastAsia="仿宋_GB2312"/>
          <w:sz w:val="32"/>
          <w:szCs w:val="32"/>
        </w:rPr>
      </w:pPr>
      <w:r>
        <w:rPr>
          <w:rFonts w:hint="eastAsia" w:eastAsia="仿宋_GB2312"/>
          <w:sz w:val="32"/>
          <w:szCs w:val="32"/>
        </w:rPr>
        <w:t>15</w:t>
      </w:r>
      <w:r>
        <w:rPr>
          <w:rFonts w:eastAsia="仿宋_GB2312"/>
          <w:sz w:val="32"/>
          <w:szCs w:val="32"/>
        </w:rPr>
        <w:t>.</w:t>
      </w:r>
      <w:r>
        <w:rPr>
          <w:rFonts w:hint="eastAsia" w:eastAsia="仿宋_GB2312"/>
          <w:sz w:val="32"/>
          <w:szCs w:val="32"/>
        </w:rPr>
        <w:t>项目支出：指在基本支出之外为完成特定行政任务和事业发展目标所发生的支出。</w:t>
      </w:r>
    </w:p>
    <w:p>
      <w:pPr>
        <w:spacing w:line="600" w:lineRule="exact"/>
        <w:ind w:firstLine="640"/>
        <w:rPr>
          <w:rFonts w:eastAsia="仿宋_GB2312"/>
          <w:sz w:val="32"/>
          <w:szCs w:val="32"/>
        </w:rPr>
      </w:pPr>
      <w:r>
        <w:rPr>
          <w:rFonts w:hint="eastAsia" w:eastAsia="仿宋_GB2312"/>
          <w:sz w:val="32"/>
          <w:szCs w:val="32"/>
        </w:rPr>
        <w:t>16</w:t>
      </w:r>
      <w:r>
        <w:rPr>
          <w:rFonts w:eastAsia="仿宋_GB2312"/>
          <w:sz w:val="32"/>
          <w:szCs w:val="32"/>
        </w:rPr>
        <w:t>.</w:t>
      </w:r>
      <w:r>
        <w:rPr>
          <w:rFonts w:hint="eastAsia" w:eastAsia="仿宋_GB2312"/>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hint="eastAsia" w:eastAsia="仿宋_GB2312"/>
          <w:sz w:val="32"/>
          <w:szCs w:val="32"/>
        </w:rPr>
      </w:pPr>
      <w:r>
        <w:rPr>
          <w:rFonts w:hint="eastAsia" w:eastAsia="仿宋_GB2312"/>
          <w:sz w:val="32"/>
          <w:szCs w:val="32"/>
        </w:rPr>
        <w:t>17</w:t>
      </w:r>
      <w:r>
        <w:rPr>
          <w:rFonts w:eastAsia="仿宋_GB2312"/>
          <w:sz w:val="32"/>
          <w:szCs w:val="32"/>
        </w:rPr>
        <w:t>.</w:t>
      </w:r>
      <w:r>
        <w:rPr>
          <w:rFonts w:hint="eastAsia"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9"/>
          <w:rFonts w:ascii="黑体" w:hAnsi="黑体" w:eastAsia="黑体"/>
          <w:b w:val="0"/>
          <w:color w:val="auto"/>
          <w:highlight w:val="none"/>
        </w:rPr>
      </w:pPr>
      <w:bookmarkStart w:id="76" w:name="_Toc15377226"/>
      <w:r>
        <w:rPr>
          <w:rFonts w:ascii="宋体"/>
          <w:b/>
          <w:color w:val="auto"/>
          <w:sz w:val="44"/>
          <w:szCs w:val="44"/>
          <w:highlight w:val="none"/>
        </w:rPr>
        <w:br w:type="page"/>
      </w:r>
      <w:bookmarkStart w:id="77" w:name="_Toc15396614"/>
      <w:bookmarkStart w:id="78" w:name="_Toc9935"/>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四部分 附件</w:t>
      </w:r>
      <w:bookmarkEnd w:id="77"/>
      <w:bookmarkEnd w:id="78"/>
    </w:p>
    <w:p>
      <w:pPr>
        <w:keepNext w:val="0"/>
        <w:keepLines w:val="0"/>
        <w:pageBreakBefore w:val="0"/>
        <w:kinsoku/>
        <w:wordWrap/>
        <w:overflowPunct/>
        <w:topLinePunct w:val="0"/>
        <w:autoSpaceDE/>
        <w:autoSpaceDN/>
        <w:bidi w:val="0"/>
        <w:spacing w:line="572" w:lineRule="exact"/>
        <w:jc w:val="left"/>
        <w:textAlignment w:val="auto"/>
        <w:outlineLvl w:val="1"/>
        <w:rPr>
          <w:rFonts w:ascii="仿宋_GB2312" w:hAnsi="仿宋_GB2312" w:eastAsia="仿宋_GB2312" w:cs="仿宋_GB2312"/>
          <w:color w:val="auto"/>
          <w:sz w:val="32"/>
          <w:szCs w:val="32"/>
          <w:highlight w:val="none"/>
        </w:rPr>
      </w:pPr>
      <w:bookmarkStart w:id="79" w:name="_Toc20954"/>
      <w:bookmarkStart w:id="80" w:name="_Toc8367"/>
      <w:r>
        <w:rPr>
          <w:rFonts w:hint="eastAsia" w:ascii="黑体" w:hAnsi="黑体" w:eastAsia="黑体" w:cs="黑体"/>
          <w:color w:val="auto"/>
          <w:sz w:val="32"/>
          <w:szCs w:val="32"/>
          <w:highlight w:val="none"/>
        </w:rPr>
        <w:t>附件</w:t>
      </w:r>
      <w:bookmarkEnd w:id="79"/>
      <w:bookmarkEnd w:id="80"/>
    </w:p>
    <w:tbl>
      <w:tblPr>
        <w:tblStyle w:val="17"/>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bookmarkStart w:id="81" w:name="_Toc15396618"/>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9"/>
        <w:rPr>
          <w:rFonts w:hint="eastAsia" w:ascii="黑体" w:hAnsi="黑体" w:eastAsia="黑体"/>
          <w:color w:val="auto"/>
          <w:sz w:val="44"/>
          <w:szCs w:val="44"/>
          <w:highlight w:val="none"/>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lang w:val="en-US" w:eastAsia="zh-CN"/>
        </w:rPr>
        <w:t>（注：</w:t>
      </w:r>
      <w:r>
        <w:rPr>
          <w:rFonts w:hint="eastAsia" w:ascii="宋体" w:hAnsi="宋体" w:cs="宋体"/>
          <w:i w:val="0"/>
          <w:color w:val="auto"/>
          <w:sz w:val="24"/>
          <w:szCs w:val="24"/>
          <w:u w:val="none"/>
          <w:lang w:val="en-US" w:eastAsia="zh-CN"/>
        </w:rPr>
        <w:t>此表无数据</w:t>
      </w:r>
      <w:r>
        <w:rPr>
          <w:rFonts w:hint="eastAsia" w:ascii="仿宋_GB2312" w:hAnsi="宋体" w:eastAsia="仿宋_GB2312" w:cs="宋体"/>
          <w:color w:val="000000"/>
          <w:kern w:val="0"/>
          <w:sz w:val="32"/>
          <w:szCs w:val="32"/>
          <w:shd w:val="clear" w:color="auto" w:fill="FFFFFF"/>
          <w:lang w:val="en-US" w:eastAsia="zh-CN"/>
        </w:rPr>
        <w:t>）</w:t>
      </w: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pStyle w:val="2"/>
        <w:rPr>
          <w:rFonts w:hint="eastAsia"/>
        </w:rPr>
      </w:pPr>
    </w:p>
    <w:p>
      <w:pPr>
        <w:spacing w:line="600" w:lineRule="exact"/>
        <w:jc w:val="center"/>
        <w:outlineLvl w:val="0"/>
        <w:rPr>
          <w:rFonts w:hint="eastAsia" w:ascii="仿宋" w:hAnsi="仿宋" w:eastAsia="仿宋"/>
          <w:b w:val="0"/>
          <w:color w:val="auto"/>
          <w:highlight w:val="none"/>
        </w:rPr>
      </w:pPr>
      <w:bookmarkStart w:id="82" w:name="_Toc12571"/>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五部分 附表</w:t>
      </w:r>
      <w:bookmarkEnd w:id="76"/>
      <w:bookmarkEnd w:id="81"/>
      <w:bookmarkEnd w:id="82"/>
      <w:bookmarkStart w:id="83" w:name="_Toc15396619"/>
    </w:p>
    <w:p>
      <w:pPr>
        <w:pStyle w:val="4"/>
        <w:rPr>
          <w:rFonts w:ascii="仿宋" w:hAnsi="仿宋" w:eastAsia="仿宋"/>
          <w:color w:val="auto"/>
          <w:highlight w:val="none"/>
        </w:rPr>
      </w:pPr>
      <w:bookmarkStart w:id="84" w:name="_Toc25121"/>
      <w:r>
        <w:rPr>
          <w:rFonts w:hint="eastAsia" w:ascii="仿宋" w:hAnsi="仿宋" w:eastAsia="仿宋"/>
          <w:b w:val="0"/>
          <w:color w:val="auto"/>
          <w:highlight w:val="none"/>
        </w:rPr>
        <w:t>一、收</w:t>
      </w:r>
      <w:r>
        <w:rPr>
          <w:rStyle w:val="30"/>
          <w:rFonts w:hint="eastAsia" w:ascii="仿宋" w:hAnsi="仿宋" w:eastAsia="仿宋"/>
          <w:b w:val="0"/>
          <w:bCs w:val="0"/>
          <w:color w:val="auto"/>
          <w:highlight w:val="none"/>
        </w:rPr>
        <w:t>入支出决算总表</w:t>
      </w:r>
      <w:bookmarkEnd w:id="83"/>
      <w:bookmarkEnd w:id="84"/>
    </w:p>
    <w:p>
      <w:pPr>
        <w:pStyle w:val="4"/>
        <w:rPr>
          <w:rFonts w:ascii="仿宋" w:hAnsi="仿宋" w:eastAsia="仿宋"/>
          <w:color w:val="auto"/>
          <w:highlight w:val="none"/>
        </w:rPr>
      </w:pPr>
      <w:bookmarkStart w:id="85" w:name="_Toc15396620"/>
      <w:bookmarkStart w:id="86" w:name="_Toc21215"/>
      <w:r>
        <w:rPr>
          <w:rFonts w:hint="eastAsia" w:ascii="仿宋" w:hAnsi="仿宋" w:eastAsia="仿宋"/>
          <w:b w:val="0"/>
          <w:color w:val="auto"/>
          <w:highlight w:val="none"/>
        </w:rPr>
        <w:t>二、收</w:t>
      </w:r>
      <w:r>
        <w:rPr>
          <w:rStyle w:val="30"/>
          <w:rFonts w:hint="eastAsia" w:ascii="仿宋" w:hAnsi="仿宋" w:eastAsia="仿宋"/>
          <w:b w:val="0"/>
          <w:bCs w:val="0"/>
          <w:color w:val="auto"/>
          <w:highlight w:val="none"/>
        </w:rPr>
        <w:t>入决算表</w:t>
      </w:r>
      <w:bookmarkEnd w:id="85"/>
      <w:bookmarkEnd w:id="86"/>
    </w:p>
    <w:p>
      <w:pPr>
        <w:pStyle w:val="4"/>
        <w:rPr>
          <w:rFonts w:ascii="仿宋" w:hAnsi="仿宋" w:eastAsia="仿宋"/>
          <w:color w:val="auto"/>
          <w:highlight w:val="none"/>
        </w:rPr>
      </w:pPr>
      <w:bookmarkStart w:id="87" w:name="_Toc15396621"/>
      <w:bookmarkStart w:id="88" w:name="_Toc13608"/>
      <w:r>
        <w:rPr>
          <w:rStyle w:val="30"/>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0"/>
          <w:rFonts w:hint="eastAsia" w:ascii="仿宋" w:hAnsi="仿宋" w:eastAsia="仿宋"/>
          <w:b w:val="0"/>
          <w:bCs w:val="0"/>
          <w:color w:val="auto"/>
          <w:highlight w:val="none"/>
        </w:rPr>
        <w:t>出决算表</w:t>
      </w:r>
      <w:bookmarkEnd w:id="87"/>
      <w:bookmarkEnd w:id="88"/>
    </w:p>
    <w:p>
      <w:pPr>
        <w:pStyle w:val="4"/>
        <w:rPr>
          <w:rFonts w:ascii="仿宋" w:hAnsi="仿宋" w:eastAsia="仿宋"/>
          <w:b w:val="0"/>
          <w:color w:val="auto"/>
          <w:highlight w:val="none"/>
        </w:rPr>
      </w:pPr>
      <w:bookmarkStart w:id="89" w:name="_Toc15396622"/>
      <w:bookmarkStart w:id="90" w:name="_Toc28918"/>
      <w:r>
        <w:rPr>
          <w:rStyle w:val="30"/>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政拨款收入支出决算总表</w:t>
      </w:r>
      <w:bookmarkEnd w:id="89"/>
      <w:bookmarkEnd w:id="90"/>
    </w:p>
    <w:p>
      <w:pPr>
        <w:pStyle w:val="4"/>
        <w:rPr>
          <w:rStyle w:val="30"/>
          <w:rFonts w:ascii="仿宋" w:hAnsi="仿宋" w:eastAsia="仿宋"/>
          <w:b w:val="0"/>
          <w:bCs w:val="0"/>
          <w:color w:val="auto"/>
          <w:highlight w:val="none"/>
        </w:rPr>
      </w:pPr>
      <w:bookmarkStart w:id="91" w:name="_Toc15396623"/>
      <w:bookmarkStart w:id="92" w:name="_Toc21760"/>
      <w:r>
        <w:rPr>
          <w:rStyle w:val="30"/>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政拨款支出决算明细表</w:t>
      </w:r>
      <w:bookmarkEnd w:id="91"/>
      <w:bookmarkEnd w:id="92"/>
      <w:bookmarkStart w:id="93" w:name="_Toc15396624"/>
    </w:p>
    <w:p>
      <w:pPr>
        <w:pStyle w:val="4"/>
        <w:rPr>
          <w:rFonts w:ascii="仿宋" w:hAnsi="仿宋" w:eastAsia="仿宋"/>
          <w:color w:val="auto"/>
          <w:highlight w:val="none"/>
        </w:rPr>
      </w:pPr>
      <w:bookmarkStart w:id="94" w:name="_Toc25651"/>
      <w:r>
        <w:rPr>
          <w:rStyle w:val="30"/>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般公共预算财政拨款支出决算表</w:t>
      </w:r>
      <w:bookmarkEnd w:id="93"/>
      <w:bookmarkEnd w:id="94"/>
    </w:p>
    <w:p>
      <w:pPr>
        <w:pStyle w:val="4"/>
        <w:rPr>
          <w:rFonts w:ascii="仿宋" w:hAnsi="仿宋" w:eastAsia="仿宋"/>
          <w:color w:val="auto"/>
          <w:highlight w:val="none"/>
        </w:rPr>
      </w:pPr>
      <w:bookmarkStart w:id="95" w:name="_Toc15396625"/>
      <w:bookmarkStart w:id="96" w:name="_Toc16276"/>
      <w:r>
        <w:rPr>
          <w:rStyle w:val="30"/>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般公共预算财政拨款支出决算明细表</w:t>
      </w:r>
      <w:bookmarkEnd w:id="95"/>
      <w:bookmarkEnd w:id="96"/>
    </w:p>
    <w:p>
      <w:pPr>
        <w:pStyle w:val="4"/>
        <w:rPr>
          <w:rFonts w:ascii="仿宋" w:hAnsi="仿宋" w:eastAsia="仿宋"/>
          <w:color w:val="auto"/>
          <w:highlight w:val="none"/>
        </w:rPr>
      </w:pPr>
      <w:bookmarkStart w:id="97" w:name="_Toc15396626"/>
      <w:bookmarkStart w:id="98" w:name="_Toc8627"/>
      <w:r>
        <w:rPr>
          <w:rStyle w:val="30"/>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般公共预算财政拨款基本支出决算表</w:t>
      </w:r>
      <w:bookmarkEnd w:id="97"/>
      <w:bookmarkEnd w:id="98"/>
    </w:p>
    <w:p>
      <w:pPr>
        <w:pStyle w:val="4"/>
        <w:rPr>
          <w:rFonts w:ascii="仿宋" w:hAnsi="仿宋" w:eastAsia="仿宋"/>
          <w:color w:val="auto"/>
          <w:highlight w:val="none"/>
        </w:rPr>
      </w:pPr>
      <w:bookmarkStart w:id="99" w:name="_Toc15396627"/>
      <w:bookmarkStart w:id="100" w:name="_Toc12545"/>
      <w:r>
        <w:rPr>
          <w:rStyle w:val="30"/>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般公共预算财政拨款项目支出决算表</w:t>
      </w:r>
      <w:bookmarkEnd w:id="99"/>
      <w:bookmarkEnd w:id="100"/>
    </w:p>
    <w:p>
      <w:pPr>
        <w:pStyle w:val="4"/>
        <w:rPr>
          <w:rFonts w:ascii="仿宋" w:hAnsi="仿宋" w:eastAsia="仿宋"/>
          <w:color w:val="auto"/>
          <w:highlight w:val="none"/>
        </w:rPr>
      </w:pPr>
      <w:bookmarkStart w:id="101" w:name="_Toc15396628"/>
      <w:bookmarkStart w:id="102" w:name="_Toc27335"/>
      <w:r>
        <w:rPr>
          <w:rStyle w:val="30"/>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般公共预算财政拨款“三公”经费支出决算表</w:t>
      </w:r>
      <w:bookmarkEnd w:id="101"/>
      <w:bookmarkEnd w:id="102"/>
    </w:p>
    <w:p>
      <w:pPr>
        <w:pStyle w:val="4"/>
        <w:rPr>
          <w:rFonts w:ascii="仿宋" w:hAnsi="仿宋" w:eastAsia="仿宋"/>
          <w:color w:val="auto"/>
          <w:highlight w:val="none"/>
        </w:rPr>
      </w:pPr>
      <w:bookmarkStart w:id="103" w:name="_Toc15396629"/>
      <w:bookmarkStart w:id="104" w:name="_Toc11348"/>
      <w:r>
        <w:rPr>
          <w:rStyle w:val="30"/>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府性基金预算财政拨款收入支出决算表</w:t>
      </w:r>
      <w:bookmarkEnd w:id="103"/>
      <w:bookmarkEnd w:id="104"/>
    </w:p>
    <w:p>
      <w:pPr>
        <w:pStyle w:val="4"/>
        <w:rPr>
          <w:rFonts w:ascii="仿宋" w:hAnsi="仿宋" w:eastAsia="仿宋"/>
          <w:color w:val="auto"/>
          <w:highlight w:val="none"/>
        </w:rPr>
      </w:pPr>
      <w:bookmarkStart w:id="105" w:name="_Toc15396630"/>
      <w:bookmarkStart w:id="106" w:name="_Toc26948"/>
      <w:r>
        <w:rPr>
          <w:rStyle w:val="30"/>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府性基金预算财政拨款“三公”经费支出决算表</w:t>
      </w:r>
      <w:bookmarkEnd w:id="105"/>
      <w:bookmarkEnd w:id="106"/>
    </w:p>
    <w:p>
      <w:pPr>
        <w:pStyle w:val="4"/>
        <w:rPr>
          <w:rStyle w:val="30"/>
          <w:rFonts w:hint="eastAsia" w:ascii="仿宋" w:hAnsi="仿宋" w:eastAsia="仿宋"/>
          <w:b w:val="0"/>
          <w:bCs w:val="0"/>
          <w:color w:val="auto"/>
          <w:highlight w:val="none"/>
        </w:rPr>
      </w:pPr>
      <w:bookmarkStart w:id="107" w:name="_Toc15396631"/>
      <w:bookmarkStart w:id="108" w:name="_Toc800"/>
      <w:r>
        <w:rPr>
          <w:rStyle w:val="30"/>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30"/>
          <w:rFonts w:hint="eastAsia" w:ascii="仿宋" w:hAnsi="仿宋" w:eastAsia="仿宋"/>
          <w:b w:val="0"/>
          <w:bCs w:val="0"/>
          <w:color w:val="auto"/>
          <w:highlight w:val="none"/>
        </w:rPr>
        <w:t>有资本经营预算</w:t>
      </w:r>
      <w:r>
        <w:rPr>
          <w:rStyle w:val="30"/>
          <w:rFonts w:hint="eastAsia" w:ascii="仿宋" w:hAnsi="仿宋" w:eastAsia="仿宋"/>
          <w:b w:val="0"/>
          <w:bCs w:val="0"/>
          <w:color w:val="auto"/>
          <w:highlight w:val="none"/>
          <w:lang w:eastAsia="zh-CN"/>
        </w:rPr>
        <w:t>财政拨款收入</w:t>
      </w:r>
      <w:r>
        <w:rPr>
          <w:rStyle w:val="30"/>
          <w:rFonts w:hint="eastAsia" w:ascii="仿宋" w:hAnsi="仿宋" w:eastAsia="仿宋"/>
          <w:b w:val="0"/>
          <w:bCs w:val="0"/>
          <w:color w:val="auto"/>
          <w:highlight w:val="none"/>
        </w:rPr>
        <w:t>支出决算表</w:t>
      </w:r>
      <w:bookmarkEnd w:id="107"/>
      <w:bookmarkEnd w:id="108"/>
    </w:p>
    <w:p>
      <w:pPr>
        <w:rPr>
          <w:rFonts w:hint="eastAsia" w:eastAsia="仿宋"/>
          <w:color w:val="auto"/>
          <w:highlight w:val="none"/>
          <w:lang w:eastAsia="zh-CN"/>
        </w:rPr>
      </w:pPr>
      <w:bookmarkStart w:id="109" w:name="_Toc823"/>
      <w:r>
        <w:rPr>
          <w:rStyle w:val="30"/>
          <w:rFonts w:hint="eastAsia" w:ascii="仿宋" w:hAnsi="仿宋" w:eastAsia="仿宋"/>
          <w:b w:val="0"/>
          <w:bCs w:val="0"/>
          <w:color w:val="auto"/>
          <w:highlight w:val="none"/>
          <w:lang w:eastAsia="zh-CN"/>
        </w:rPr>
        <w:t>十四、国有资本经营预算财政拨款支出决算表</w:t>
      </w:r>
      <w:bookmarkEnd w:id="109"/>
    </w:p>
    <w:sectPr>
      <w:footerReference r:id="rId8" w:type="first"/>
      <w:footerReference r:id="rId7"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9DC045-A7C9-4F7F-AC94-E5A2FE277AB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2" w:fontKey="{A3D4C4EC-3155-4F13-90BB-055059BA4B3B}"/>
  </w:font>
  <w:font w:name="仿宋_GB2312">
    <w:altName w:val="仿宋"/>
    <w:panose1 w:val="02010609030101010101"/>
    <w:charset w:val="86"/>
    <w:family w:val="modern"/>
    <w:pitch w:val="default"/>
    <w:sig w:usb0="00000000" w:usb1="00000000" w:usb2="00000000" w:usb3="00000000" w:csb0="00040000" w:csb1="00000000"/>
    <w:embedRegular r:id="rId3" w:fontKey="{7D46DC34-F645-4748-85EF-4BB993FC4ECF}"/>
  </w:font>
  <w:font w:name="仿宋">
    <w:panose1 w:val="02010609060101010101"/>
    <w:charset w:val="86"/>
    <w:family w:val="auto"/>
    <w:pitch w:val="default"/>
    <w:sig w:usb0="800002BF" w:usb1="38CF7CFA" w:usb2="00000016" w:usb3="00000000" w:csb0="00040001" w:csb1="00000000"/>
    <w:embedRegular r:id="rId4" w:fontKey="{8212EF21-7807-473A-A41F-4DB20F4F83FF}"/>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embedRegular r:id="rId5" w:fontKey="{716D695B-A73D-41D0-8644-BBA6116C36D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方正小标宋_GBK">
    <w:altName w:val="方正小标宋_GBK"/>
    <w:panose1 w:val="02000000000000000000"/>
    <w:charset w:val="86"/>
    <w:family w:val="auto"/>
    <w:pitch w:val="default"/>
    <w:sig w:usb0="A00002BF" w:usb1="38CF7CFA" w:usb2="00082016" w:usb3="00000000" w:csb0="00040001" w:csb1="00000000"/>
  </w:font>
  <w:font w:name="方正公文小标宋">
    <w:altName w:val="方正公文小标宋"/>
    <w:panose1 w:val="02000500000000000000"/>
    <w:charset w:val="86"/>
    <w:family w:val="auto"/>
    <w:pitch w:val="default"/>
    <w:sig w:usb0="A00002BF" w:usb1="38CF7CFA" w:usb2="00000016" w:usb3="00000000" w:csb0="00040001" w:csb1="00000000"/>
    <w:embedRegular r:id="rId6" w:fontKey="{B8A49F22-D086-4AF2-B974-27138D3034E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2"/>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12"/>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4868"/>
        <w:tab w:val="clear" w:pos="4153"/>
      </w:tabs>
      <w:rPr>
        <w:rFonts w:hint="eastAsia" w:eastAsia="宋体"/>
        <w:lang w:eastAsia="zh-CN"/>
      </w:rPr>
    </w:pP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2"/>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12"/>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4868"/>
        <w:tab w:val="clear" w:pos="4153"/>
      </w:tabs>
      <w:rPr>
        <w:rFonts w:hint="eastAsia" w:eastAsia="宋体"/>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65F339"/>
    <w:multiLevelType w:val="singleLevel"/>
    <w:tmpl w:val="8365F339"/>
    <w:lvl w:ilvl="0" w:tentative="0">
      <w:start w:val="3"/>
      <w:numFmt w:val="decimal"/>
      <w:lvlText w:val="%1."/>
      <w:lvlJc w:val="left"/>
      <w:pPr>
        <w:tabs>
          <w:tab w:val="left" w:pos="312"/>
        </w:tabs>
      </w:pPr>
    </w:lvl>
  </w:abstractNum>
  <w:abstractNum w:abstractNumId="1">
    <w:nsid w:val="896E9441"/>
    <w:multiLevelType w:val="singleLevel"/>
    <w:tmpl w:val="896E9441"/>
    <w:lvl w:ilvl="0" w:tentative="0">
      <w:start w:val="1"/>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hMmQzYzQ4NjdiNDYzZWU5YjQyZWNmMDgxMDUwOG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4A3BD9"/>
    <w:rsid w:val="05A43B74"/>
    <w:rsid w:val="072F05F0"/>
    <w:rsid w:val="0A2032A3"/>
    <w:rsid w:val="0B8A37D8"/>
    <w:rsid w:val="0B9E0FDB"/>
    <w:rsid w:val="0D731DDF"/>
    <w:rsid w:val="105E3098"/>
    <w:rsid w:val="10C055FF"/>
    <w:rsid w:val="118107EC"/>
    <w:rsid w:val="11DD6519"/>
    <w:rsid w:val="155F4F40"/>
    <w:rsid w:val="16BB723D"/>
    <w:rsid w:val="18015F3F"/>
    <w:rsid w:val="19F52912"/>
    <w:rsid w:val="1AD501D1"/>
    <w:rsid w:val="1B0E1E6F"/>
    <w:rsid w:val="1BE8440E"/>
    <w:rsid w:val="1C0D42E4"/>
    <w:rsid w:val="1D155CEE"/>
    <w:rsid w:val="20F57F95"/>
    <w:rsid w:val="240371BF"/>
    <w:rsid w:val="255516C3"/>
    <w:rsid w:val="25C741E6"/>
    <w:rsid w:val="27842671"/>
    <w:rsid w:val="29FD04D3"/>
    <w:rsid w:val="2ABE7A3E"/>
    <w:rsid w:val="2C871B98"/>
    <w:rsid w:val="2EFA178C"/>
    <w:rsid w:val="2F362D82"/>
    <w:rsid w:val="30B46D73"/>
    <w:rsid w:val="319F7F4E"/>
    <w:rsid w:val="336A1D06"/>
    <w:rsid w:val="39AE70AB"/>
    <w:rsid w:val="39FF73F4"/>
    <w:rsid w:val="3AD3277E"/>
    <w:rsid w:val="3C0C0783"/>
    <w:rsid w:val="3CB219F0"/>
    <w:rsid w:val="3D0223C0"/>
    <w:rsid w:val="3F9F3A96"/>
    <w:rsid w:val="44DC6CF3"/>
    <w:rsid w:val="45503553"/>
    <w:rsid w:val="493C27E9"/>
    <w:rsid w:val="496F39ED"/>
    <w:rsid w:val="49FF41D3"/>
    <w:rsid w:val="4BE068DB"/>
    <w:rsid w:val="4BF6002B"/>
    <w:rsid w:val="4ECE2238"/>
    <w:rsid w:val="51DB4B86"/>
    <w:rsid w:val="55333C3E"/>
    <w:rsid w:val="5D7F7F4E"/>
    <w:rsid w:val="5E3D2EA0"/>
    <w:rsid w:val="61367A84"/>
    <w:rsid w:val="642C66DB"/>
    <w:rsid w:val="64CA39A1"/>
    <w:rsid w:val="6C4A05C8"/>
    <w:rsid w:val="6D9DD621"/>
    <w:rsid w:val="6EA86918"/>
    <w:rsid w:val="70117A67"/>
    <w:rsid w:val="72734D90"/>
    <w:rsid w:val="73491C14"/>
    <w:rsid w:val="79E7B28D"/>
    <w:rsid w:val="7F9F20EE"/>
    <w:rsid w:val="7FFD4A12"/>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beforeLines="30"/>
    </w:pPr>
    <w:rPr>
      <w:rFonts w:ascii="仿宋_GB2312" w:eastAsia="仿宋_GB2312"/>
      <w:kern w:val="0"/>
      <w:sz w:val="30"/>
    </w:rPr>
  </w:style>
  <w:style w:type="paragraph" w:styleId="6">
    <w:name w:val="annotation text"/>
    <w:basedOn w:val="1"/>
    <w:semiHidden/>
    <w:unhideWhenUsed/>
    <w:qFormat/>
    <w:uiPriority w:val="99"/>
    <w:pPr>
      <w:jc w:val="left"/>
    </w:pPr>
  </w:style>
  <w:style w:type="paragraph" w:styleId="7">
    <w:name w:val="index 6"/>
    <w:basedOn w:val="1"/>
    <w:next w:val="1"/>
    <w:qFormat/>
    <w:uiPriority w:val="0"/>
    <w:pPr>
      <w:ind w:left="2100"/>
    </w:pPr>
    <w:rPr>
      <w:rFonts w:ascii="Times New Roman" w:hAnsi="Times New Roman" w:eastAsia="宋体" w:cs="Times New Roman"/>
    </w:rPr>
  </w:style>
  <w:style w:type="paragraph" w:styleId="8">
    <w:name w:val="Salutation"/>
    <w:basedOn w:val="1"/>
    <w:next w:val="1"/>
    <w:qFormat/>
    <w:uiPriority w:val="0"/>
    <w:rPr>
      <w:rFonts w:ascii="Times New Roman" w:hAnsi="Times New Roman"/>
    </w:rPr>
  </w:style>
  <w:style w:type="paragraph" w:styleId="9">
    <w:name w:val="toc 3"/>
    <w:basedOn w:val="1"/>
    <w:next w:val="1"/>
    <w:unhideWhenUsed/>
    <w:qFormat/>
    <w:uiPriority w:val="39"/>
    <w:pPr>
      <w:tabs>
        <w:tab w:val="right" w:leader="dot" w:pos="8296"/>
      </w:tabs>
      <w:ind w:left="840" w:leftChars="400"/>
    </w:pPr>
  </w:style>
  <w:style w:type="paragraph" w:styleId="10">
    <w:name w:val="Body Text Indent 2"/>
    <w:basedOn w:val="1"/>
    <w:next w:val="7"/>
    <w:qFormat/>
    <w:uiPriority w:val="99"/>
    <w:pPr>
      <w:spacing w:after="120" w:line="480" w:lineRule="auto"/>
      <w:ind w:left="420" w:leftChars="200"/>
    </w:pPr>
  </w:style>
  <w:style w:type="paragraph" w:styleId="11">
    <w:name w:val="Balloon Text"/>
    <w:basedOn w:val="1"/>
    <w:link w:val="32"/>
    <w:semiHidden/>
    <w:unhideWhenUsed/>
    <w:qFormat/>
    <w:uiPriority w:val="99"/>
    <w:rPr>
      <w:sz w:val="18"/>
      <w:szCs w:val="18"/>
    </w:rPr>
  </w:style>
  <w:style w:type="paragraph" w:styleId="12">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Char"/>
    <w:link w:val="13"/>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Char"/>
    <w:link w:val="12"/>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Char"/>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8"/>
    <w:link w:val="3"/>
    <w:qFormat/>
    <w:uiPriority w:val="9"/>
    <w:rPr>
      <w:rFonts w:ascii="Times New Roman" w:hAnsi="Times New Roman"/>
      <w:b/>
      <w:bCs/>
      <w:kern w:val="44"/>
      <w:sz w:val="44"/>
      <w:szCs w:val="44"/>
    </w:rPr>
  </w:style>
  <w:style w:type="character" w:customStyle="1" w:styleId="30">
    <w:name w:val="标题 2 Char"/>
    <w:basedOn w:val="18"/>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8"/>
    <w:link w:val="11"/>
    <w:semiHidden/>
    <w:qFormat/>
    <w:uiPriority w:val="99"/>
    <w:rPr>
      <w:rFonts w:ascii="Times New Roman" w:hAnsi="Times New Roman"/>
      <w:kern w:val="2"/>
      <w:sz w:val="18"/>
      <w:szCs w:val="18"/>
    </w:rPr>
  </w:style>
  <w:style w:type="character" w:customStyle="1" w:styleId="33">
    <w:name w:val="标题 3 Char"/>
    <w:basedOn w:val="18"/>
    <w:link w:val="5"/>
    <w:qFormat/>
    <w:uiPriority w:val="9"/>
    <w:rPr>
      <w:rFonts w:ascii="Times New Roman" w:hAnsi="Times New Roman"/>
      <w:b/>
      <w:bCs/>
      <w:kern w:val="2"/>
      <w:sz w:val="32"/>
      <w:szCs w:val="32"/>
    </w:rPr>
  </w:style>
  <w:style w:type="paragraph" w:customStyle="1" w:styleId="34">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NormalCharacter"/>
    <w:qFormat/>
    <w:uiPriority w:val="0"/>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单位</a:t>
            </a:r>
            <a:r>
              <a:rPr lang="en-US" altLang="zh-CN"/>
              <a:t>:</a:t>
            </a:r>
            <a:r>
              <a:rPr altLang="en-US"/>
              <a:t>万元</a:t>
            </a:r>
            <a:endParaRPr lang="en-US" altLang="zh-CN"/>
          </a:p>
        </c:rich>
      </c:tx>
      <c:layout>
        <c:manualLayout>
          <c:xMode val="edge"/>
          <c:yMode val="edge"/>
          <c:x val="0.7945"/>
          <c:y val="0.0556666666666667"/>
        </c:manualLayout>
      </c:layout>
      <c:overlay val="0"/>
      <c:spPr>
        <a:noFill/>
        <a:ln>
          <a:noFill/>
        </a:ln>
        <a:effectLst/>
      </c:spPr>
    </c:title>
    <c:autoTitleDeleted val="0"/>
    <c:plotArea>
      <c:layout>
        <c:manualLayout>
          <c:layoutTarget val="inner"/>
          <c:xMode val="edge"/>
          <c:yMode val="edge"/>
          <c:x val="0.0863284834185345"/>
          <c:y val="0.170615083677461"/>
          <c:w val="0.782854895792371"/>
          <c:h val="0.730732449467507"/>
        </c:manualLayout>
      </c:layout>
      <c:barChart>
        <c:barDir val="col"/>
        <c:grouping val="clustered"/>
        <c:varyColors val="0"/>
        <c:ser>
          <c:idx val="1"/>
          <c:order val="0"/>
          <c:tx>
            <c:strRef>
              <c:f>Sheet1!$B$1</c:f>
              <c:strCache>
                <c:ptCount val="1"/>
                <c:pt idx="0">
                  <c:v>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Sheet1!$A$2</c:f>
              <c:strCache>
                <c:ptCount val="1"/>
                <c:pt idx="0">
                  <c:v>收支决算总计变动情况</c:v>
                </c:pt>
              </c:strCache>
            </c:strRef>
          </c:cat>
          <c:val>
            <c:numRef>
              <c:f>Sheet1!$B$2</c:f>
              <c:numCache>
                <c:formatCode>General</c:formatCode>
                <c:ptCount val="1"/>
                <c:pt idx="0">
                  <c:v>794.59</c:v>
                </c:pt>
              </c:numCache>
            </c:numRef>
          </c:val>
        </c:ser>
        <c:ser>
          <c:idx val="2"/>
          <c:order val="1"/>
          <c:tx>
            <c:strRef>
              <c:f>Sheet1!$C$1</c:f>
              <c:strCache>
                <c:ptCount val="1"/>
                <c:pt idx="0">
                  <c:v>2020</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Sheet1!$A$2</c:f>
              <c:strCache>
                <c:ptCount val="1"/>
                <c:pt idx="0">
                  <c:v>收支决算总计变动情况</c:v>
                </c:pt>
              </c:strCache>
            </c:strRef>
          </c:cat>
          <c:val>
            <c:numRef>
              <c:f>Sheet1!$C$2</c:f>
              <c:numCache>
                <c:formatCode>General</c:formatCode>
                <c:ptCount val="1"/>
                <c:pt idx="0">
                  <c:v>713.5</c:v>
                </c:pt>
              </c:numCache>
            </c:numRef>
          </c:val>
        </c:ser>
        <c:ser>
          <c:idx val="3"/>
          <c:order val="2"/>
          <c:tx>
            <c:strRef>
              <c:f>Sheet1!#REF!</c:f>
              <c:strCache>
                <c:ptCount val="1"/>
                <c:pt idx="0">
                  <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Sheet1!$A$2</c:f>
              <c:strCache>
                <c:ptCount val="1"/>
                <c:pt idx="0">
                  <c:v>收支决算总计变动情况</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75"/>
        <c:overlap val="40"/>
        <c:axId val="595980984"/>
        <c:axId val="757938800"/>
      </c:barChart>
      <c:catAx>
        <c:axId val="5959809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757938800"/>
        <c:crosses val="autoZero"/>
        <c:auto val="1"/>
        <c:lblAlgn val="ctr"/>
        <c:lblOffset val="10"/>
        <c:noMultiLvlLbl val="0"/>
      </c:catAx>
      <c:valAx>
        <c:axId val="757938800"/>
        <c:scaling>
          <c:orientation val="minMax"/>
        </c:scaling>
        <c:delete val="0"/>
        <c:axPos val="l"/>
        <c:majorGridlines>
          <c:spPr>
            <a:ln w="9525" cap="flat" cmpd="sng" algn="ctr">
              <a:solidFill>
                <a:schemeClr val="tx2">
                  <a:lumMod val="15000"/>
                  <a:lumOff val="85000"/>
                </a:schemeClr>
              </a:solidFill>
              <a:prstDash val="solid"/>
              <a:round/>
            </a:ln>
            <a:effectLst/>
          </c:spPr>
        </c:majorGridlines>
        <c:title>
          <c:layout/>
          <c:overlay val="0"/>
          <c:spPr>
            <a:noFill/>
            <a:ln>
              <a:noFill/>
            </a:ln>
            <a:effectLst/>
          </c:spPr>
          <c:tx>
            <c:rich>
              <a:bodyPr/>
              <a:lstStyle/>
              <a:p>
                <a:pPr>
                  <a:defRPr/>
                </a:pPr>
              </a:p>
            </c:rich>
          </c:tx>
        </c:title>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595980984"/>
        <c:crosses val="autoZero"/>
        <c:crossBetween val="between"/>
      </c:valAx>
      <c:spPr>
        <a:noFill/>
        <a:ln>
          <a:noFill/>
        </a:ln>
        <a:effectLst/>
      </c:spPr>
    </c:plotArea>
    <c:legend>
      <c:legendPos val="r"/>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a:ln w="19050">
              <a:noFill/>
            </a:ln>
          </c:spPr>
          <c:explosion val="0"/>
          <c:dPt>
            <c:idx val="0"/>
            <c:bubble3D val="0"/>
            <c:spPr>
              <a:solidFill>
                <a:schemeClr val="accent1"/>
              </a:solidFill>
              <a:ln w="19050">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一般公共预算财政拨款收入737.59万元</c:v>
                </c:pt>
              </c:strCache>
            </c:strRef>
          </c:cat>
          <c:val>
            <c:numRef>
              <c:f>Sheet1!$B$2</c:f>
              <c:numCache>
                <c:formatCode>General</c:formatCode>
                <c:ptCount val="1"/>
                <c:pt idx="0">
                  <c:v>737.59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单位</a:t>
            </a:r>
            <a:r>
              <a:rPr lang="en-US" altLang="zh-CN"/>
              <a:t>:</a:t>
            </a:r>
            <a:r>
              <a:rPr altLang="en-US"/>
              <a:t>万元</a:t>
            </a:r>
            <a:endParaRPr lang="en-US" altLang="zh-CN"/>
          </a:p>
        </c:rich>
      </c:tx>
      <c:layout>
        <c:manualLayout>
          <c:xMode val="edge"/>
          <c:yMode val="edge"/>
          <c:x val="0.7422542287724"/>
          <c:y val="0.0381301163291685"/>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7</a:t>
                    </a:r>
                    <a:r>
                      <a:rPr lang="en-US" altLang="zh-CN"/>
                      <a:t>7.87</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22</a:t>
                    </a:r>
                    <a:r>
                      <a:rPr lang="en-US" altLang="zh-CN"/>
                      <a:t>.13</a:t>
                    </a:r>
                    <a:r>
                      <a:t>%</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基本支出565.4</c:v>
                </c:pt>
                <c:pt idx="1">
                  <c:v>项目支出160.67</c:v>
                </c:pt>
              </c:strCache>
            </c:strRef>
          </c:cat>
          <c:val>
            <c:numRef>
              <c:f>Sheet1!$B$2:$B$3</c:f>
              <c:numCache>
                <c:formatCode>General</c:formatCode>
                <c:ptCount val="2"/>
                <c:pt idx="0">
                  <c:v>565.4</c:v>
                </c:pt>
                <c:pt idx="1" c:formatCode="0.00_ ">
                  <c:v>160.67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单位</a:t>
            </a:r>
            <a:r>
              <a:rPr lang="en-US" altLang="zh-CN"/>
              <a:t>:</a:t>
            </a:r>
            <a:r>
              <a:rPr altLang="en-US"/>
              <a:t>万元</a:t>
            </a:r>
            <a:endParaRPr lang="en-US" altLang="zh-CN"/>
          </a:p>
        </c:rich>
      </c:tx>
      <c:layout>
        <c:manualLayout>
          <c:xMode val="edge"/>
          <c:yMode val="edge"/>
          <c:x val="0.7945"/>
          <c:y val="0.0556666666666667"/>
        </c:manualLayout>
      </c:layout>
      <c:overlay val="0"/>
      <c:spPr>
        <a:noFill/>
        <a:ln>
          <a:noFill/>
        </a:ln>
        <a:effectLst/>
      </c:spPr>
    </c:title>
    <c:autoTitleDeleted val="0"/>
    <c:plotArea>
      <c:layout/>
      <c:barChart>
        <c:barDir val="col"/>
        <c:grouping val="clustered"/>
        <c:varyColors val="0"/>
        <c:ser>
          <c:idx val="1"/>
          <c:order val="0"/>
          <c:tx>
            <c:strRef>
              <c:f>Sheet1!$B$1</c:f>
              <c:strCache>
                <c:ptCount val="1"/>
                <c:pt idx="0">
                  <c:v>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Sheet1!$A$2</c:f>
              <c:strCache>
                <c:ptCount val="1"/>
                <c:pt idx="0">
                  <c:v>财政拨款收支决算总计变动情况</c:v>
                </c:pt>
              </c:strCache>
            </c:strRef>
          </c:cat>
          <c:val>
            <c:numRef>
              <c:f>Sheet1!$B$2</c:f>
              <c:numCache>
                <c:formatCode>General</c:formatCode>
                <c:ptCount val="1"/>
                <c:pt idx="0">
                  <c:v>794.59</c:v>
                </c:pt>
              </c:numCache>
            </c:numRef>
          </c:val>
        </c:ser>
        <c:ser>
          <c:idx val="2"/>
          <c:order val="1"/>
          <c:tx>
            <c:strRef>
              <c:f>Sheet1!$C$1</c:f>
              <c:strCache>
                <c:ptCount val="1"/>
                <c:pt idx="0">
                  <c:v>2020</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Sheet1!$A$2</c:f>
              <c:strCache>
                <c:ptCount val="1"/>
                <c:pt idx="0">
                  <c:v>财政拨款收支决算总计变动情况</c:v>
                </c:pt>
              </c:strCache>
            </c:strRef>
          </c:cat>
          <c:val>
            <c:numRef>
              <c:f>Sheet1!$C$2</c:f>
              <c:numCache>
                <c:formatCode>General</c:formatCode>
                <c:ptCount val="1"/>
                <c:pt idx="0">
                  <c:v>713.5</c:v>
                </c:pt>
              </c:numCache>
            </c:numRef>
          </c:val>
        </c:ser>
        <c:ser>
          <c:idx val="3"/>
          <c:order val="2"/>
          <c:tx>
            <c:strRef>
              <c:f>Sheet1!#REF!</c:f>
              <c:strCache>
                <c:ptCount val="1"/>
                <c:pt idx="0">
                  <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Sheet1!$A$2</c:f>
              <c:strCache>
                <c:ptCount val="1"/>
                <c:pt idx="0">
                  <c:v>财政拨款收支决算总计变动情况</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75"/>
        <c:overlap val="40"/>
        <c:axId val="595980984"/>
        <c:axId val="757938800"/>
      </c:barChart>
      <c:catAx>
        <c:axId val="5959809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757938800"/>
        <c:crosses val="autoZero"/>
        <c:auto val="1"/>
        <c:lblAlgn val="ctr"/>
        <c:lblOffset val="10"/>
        <c:noMultiLvlLbl val="0"/>
      </c:catAx>
      <c:valAx>
        <c:axId val="757938800"/>
        <c:scaling>
          <c:orientation val="minMax"/>
        </c:scaling>
        <c:delete val="0"/>
        <c:axPos val="l"/>
        <c:majorGridlines>
          <c:spPr>
            <a:ln w="9525" cap="flat" cmpd="sng" algn="ctr">
              <a:solidFill>
                <a:schemeClr val="tx2">
                  <a:lumMod val="15000"/>
                  <a:lumOff val="85000"/>
                </a:schemeClr>
              </a:solidFill>
              <a:prstDash val="solid"/>
              <a:round/>
            </a:ln>
            <a:effectLst/>
          </c:spPr>
        </c:majorGridlines>
        <c:title>
          <c:layout/>
          <c:overlay val="0"/>
          <c:spPr>
            <a:noFill/>
            <a:ln>
              <a:noFill/>
            </a:ln>
            <a:effectLst/>
          </c:spPr>
          <c:tx>
            <c:rich>
              <a:bodyPr/>
              <a:lstStyle/>
              <a:p>
                <a:pPr>
                  <a:defRPr/>
                </a:pPr>
              </a:p>
            </c:rich>
          </c:tx>
        </c:title>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595980984"/>
        <c:crosses val="autoZero"/>
        <c:crossBetween val="between"/>
      </c:valAx>
      <c:spPr>
        <a:noFill/>
        <a:ln>
          <a:noFill/>
        </a:ln>
        <a:effectLst/>
      </c:spPr>
    </c:plotArea>
    <c:legend>
      <c:legendPos val="r"/>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单位</a:t>
            </a:r>
            <a:r>
              <a:rPr lang="en-US" altLang="zh-CN"/>
              <a:t>:</a:t>
            </a:r>
            <a:r>
              <a:rPr altLang="en-US"/>
              <a:t>万元</a:t>
            </a:r>
            <a:endParaRPr lang="en-US" altLang="zh-CN"/>
          </a:p>
        </c:rich>
      </c:tx>
      <c:layout>
        <c:manualLayout>
          <c:xMode val="edge"/>
          <c:yMode val="edge"/>
          <c:x val="0.7945"/>
          <c:y val="0.0556666666666667"/>
        </c:manualLayout>
      </c:layout>
      <c:overlay val="0"/>
      <c:spPr>
        <a:noFill/>
        <a:ln>
          <a:noFill/>
        </a:ln>
        <a:effectLst/>
      </c:spPr>
    </c:title>
    <c:autoTitleDeleted val="0"/>
    <c:plotArea>
      <c:layout/>
      <c:barChart>
        <c:barDir val="col"/>
        <c:grouping val="clustered"/>
        <c:varyColors val="0"/>
        <c:ser>
          <c:idx val="1"/>
          <c:order val="0"/>
          <c:tx>
            <c:strRef>
              <c:f>Sheet1!$B$1</c:f>
              <c:strCache>
                <c:ptCount val="1"/>
                <c:pt idx="0">
                  <c:v>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Sheet1!$A$2</c:f>
              <c:strCache>
                <c:ptCount val="1"/>
                <c:pt idx="0">
                  <c:v>一般公共预算财政拨款支出变动情况</c:v>
                </c:pt>
              </c:strCache>
            </c:strRef>
          </c:cat>
          <c:val>
            <c:numRef>
              <c:f>Sheet1!$B$2</c:f>
              <c:numCache>
                <c:formatCode>General</c:formatCode>
                <c:ptCount val="1"/>
                <c:pt idx="0">
                  <c:v>726.07</c:v>
                </c:pt>
              </c:numCache>
            </c:numRef>
          </c:val>
        </c:ser>
        <c:ser>
          <c:idx val="2"/>
          <c:order val="1"/>
          <c:tx>
            <c:strRef>
              <c:f>Sheet1!$C$1</c:f>
              <c:strCache>
                <c:ptCount val="1"/>
                <c:pt idx="0">
                  <c:v>2020</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Sheet1!$A$2</c:f>
              <c:strCache>
                <c:ptCount val="1"/>
                <c:pt idx="0">
                  <c:v>一般公共预算财政拨款支出变动情况</c:v>
                </c:pt>
              </c:strCache>
            </c:strRef>
          </c:cat>
          <c:val>
            <c:numRef>
              <c:f>Sheet1!$C$2</c:f>
              <c:numCache>
                <c:formatCode>General</c:formatCode>
                <c:ptCount val="1"/>
                <c:pt idx="0">
                  <c:v>547.69</c:v>
                </c:pt>
              </c:numCache>
            </c:numRef>
          </c:val>
        </c:ser>
        <c:ser>
          <c:idx val="3"/>
          <c:order val="2"/>
          <c:tx>
            <c:strRef>
              <c:f>Sheet1!#REF!</c:f>
              <c:strCache>
                <c:ptCount val="1"/>
                <c:pt idx="0">
                  <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Sheet1!$A$2</c:f>
              <c:strCache>
                <c:ptCount val="1"/>
                <c:pt idx="0">
                  <c:v>一般公共预算财政拨款支出变动情况</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75"/>
        <c:overlap val="40"/>
        <c:axId val="595980984"/>
        <c:axId val="757938800"/>
      </c:barChart>
      <c:catAx>
        <c:axId val="5959809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757938800"/>
        <c:crosses val="autoZero"/>
        <c:auto val="1"/>
        <c:lblAlgn val="ctr"/>
        <c:lblOffset val="10"/>
        <c:noMultiLvlLbl val="0"/>
      </c:catAx>
      <c:valAx>
        <c:axId val="757938800"/>
        <c:scaling>
          <c:orientation val="minMax"/>
        </c:scaling>
        <c:delete val="0"/>
        <c:axPos val="l"/>
        <c:majorGridlines>
          <c:spPr>
            <a:ln w="9525" cap="flat" cmpd="sng" algn="ctr">
              <a:solidFill>
                <a:schemeClr val="tx2">
                  <a:lumMod val="15000"/>
                  <a:lumOff val="85000"/>
                </a:schemeClr>
              </a:solidFill>
              <a:prstDash val="solid"/>
              <a:round/>
            </a:ln>
            <a:effectLst/>
          </c:spPr>
        </c:majorGridlines>
        <c:title>
          <c:layout/>
          <c:overlay val="0"/>
          <c:spPr>
            <a:noFill/>
            <a:ln>
              <a:noFill/>
            </a:ln>
            <a:effectLst/>
          </c:spPr>
          <c:tx>
            <c:rich>
              <a:bodyPr/>
              <a:lstStyle/>
              <a:p>
                <a:pPr>
                  <a:defRPr/>
                </a:pPr>
              </a:p>
            </c:rich>
          </c:tx>
        </c:title>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595980984"/>
        <c:crosses val="autoZero"/>
        <c:crossBetween val="between"/>
      </c:valAx>
      <c:spPr>
        <a:noFill/>
        <a:ln>
          <a:noFill/>
        </a:ln>
        <a:effectLst/>
      </c:spPr>
    </c:plotArea>
    <c:legend>
      <c:legendPos val="r"/>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baseline="0">
                <a:solidFill>
                  <a:schemeClr val="tx2"/>
                </a:solidFill>
                <a:latin typeface="+mn-lt"/>
                <a:ea typeface="+mn-ea"/>
                <a:cs typeface="+mn-cs"/>
              </a:defRPr>
            </a:pPr>
            <a:r>
              <a:t>单位：万元</a:t>
            </a:r>
          </a:p>
        </c:rich>
      </c:tx>
      <c:layout>
        <c:manualLayout>
          <c:xMode val="edge"/>
          <c:yMode val="edge"/>
          <c:x val="0.727035879112699"/>
          <c:y val="0.03"/>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t>82</a:t>
                    </a:r>
                    <a:r>
                      <a:rPr lang="en-US" altLang="zh-CN"/>
                      <a:t>.05</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rPr lang="en-US" altLang="zh-CN"/>
                      <a:t>0.55</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t>11</a:t>
                    </a:r>
                    <a:r>
                      <a:rPr lang="en-US" altLang="zh-CN"/>
                      <a:t>.39</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3"/>
              <c:layout>
                <c:manualLayout>
                  <c:x val="0.01121020097861"/>
                  <c:y val="0.061898760227785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rPr lang="en-US" altLang="zh-CN"/>
                      <a:t>2.8</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t>3</a:t>
                    </a:r>
                    <a:r>
                      <a:rPr lang="en-US" altLang="zh-CN"/>
                      <a:t>.21</a:t>
                    </a:r>
                    <a:r>
                      <a:t>%</a:t>
                    </a:r>
                  </a:p>
                </c:rich>
              </c:tx>
              <c:dLblPos val="inEnd"/>
              <c:showLegendKey val="0"/>
              <c:showVal val="0"/>
              <c:showCatName val="0"/>
              <c:showSerName val="0"/>
              <c:showPercent val="1"/>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Sheet1!$A$2:$A$6</c:f>
              <c:strCache>
                <c:ptCount val="5"/>
                <c:pt idx="0">
                  <c:v>一般公共服务（类）支出595.77</c:v>
                </c:pt>
                <c:pt idx="1">
                  <c:v>教育支出（类）4</c:v>
                </c:pt>
                <c:pt idx="2">
                  <c:v>社会保障和就业（类）支出82.73</c:v>
                </c:pt>
                <c:pt idx="3">
                  <c:v>卫生健康支出20.31</c:v>
                </c:pt>
                <c:pt idx="4">
                  <c:v>住房保障支出23.26</c:v>
                </c:pt>
              </c:strCache>
            </c:strRef>
          </c:cat>
          <c:val>
            <c:numRef>
              <c:f>Sheet1!$B$2:$B$6</c:f>
              <c:numCache>
                <c:formatCode>General</c:formatCode>
                <c:ptCount val="5"/>
                <c:pt idx="0">
                  <c:v>595.77</c:v>
                </c:pt>
                <c:pt idx="1">
                  <c:v>4</c:v>
                </c:pt>
                <c:pt idx="2">
                  <c:v>82.73</c:v>
                </c:pt>
                <c:pt idx="3">
                  <c:v>20.31</c:v>
                </c:pt>
                <c:pt idx="4">
                  <c:v>23.26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a:t>
                    </a:r>
                    <a:r>
                      <a:rPr lang="en-US" altLang="zh-CN"/>
                      <a:t>2.72</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77</a:t>
                    </a:r>
                    <a:r>
                      <a:rPr lang="en-US" altLang="zh-CN"/>
                      <a:t>.28</a:t>
                    </a:r>
                    <a:r>
                      <a:t>%</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公务用车购置及运行维护费支出6.34万元</c:v>
                </c:pt>
                <c:pt idx="1">
                  <c:v>公务接待费支出21.57万元</c:v>
                </c:pt>
              </c:strCache>
            </c:strRef>
          </c:cat>
          <c:val>
            <c:numRef>
              <c:f>Sheet1!$B$2:$B$3</c:f>
              <c:numCache>
                <c:formatCode>General</c:formatCode>
                <c:ptCount val="2"/>
                <c:pt idx="0">
                  <c:v>6.34</c:v>
                </c:pt>
                <c:pt idx="1">
                  <c:v>21.57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23</Pages>
  <Words>7528</Words>
  <Characters>8085</Characters>
  <Lines>61</Lines>
  <Paragraphs>17</Paragraphs>
  <TotalTime>3</TotalTime>
  <ScaleCrop>false</ScaleCrop>
  <LinksUpToDate>false</LinksUpToDate>
  <CharactersWithSpaces>10688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朱小仙</cp:lastModifiedBy>
  <cp:lastPrinted>2022-08-06T18:23:00Z</cp:lastPrinted>
  <dcterms:modified xsi:type="dcterms:W3CDTF">2022-11-11T13:38:46Z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2AC9F1EE83EA41E190A5979C82BE623D</vt:lpwstr>
  </property>
</Properties>
</file>