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spacing w:before="178" w:line="364" w:lineRule="auto"/>
        <w:ind w:right="420"/>
        <w:jc w:val="center"/>
        <w:rPr>
          <w:rFonts w:hint="eastAsia" w:ascii="宋体" w:eastAsia="宋体"/>
          <w:sz w:val="72"/>
        </w:rPr>
      </w:pPr>
      <w:bookmarkStart w:id="38" w:name="_GoBack"/>
      <w:bookmarkEnd w:id="38"/>
      <w:bookmarkStart w:id="0" w:name="2020年度四川省人民政府驻厦门办事处单位决算"/>
      <w:bookmarkEnd w:id="0"/>
      <w:r>
        <w:rPr>
          <w:rFonts w:hint="eastAsia" w:ascii="宋体" w:eastAsia="宋体"/>
          <w:sz w:val="72"/>
        </w:rPr>
        <w:t>2020</w:t>
      </w:r>
      <w:r>
        <w:rPr>
          <w:rFonts w:hint="eastAsia" w:ascii="宋体" w:eastAsia="宋体"/>
          <w:spacing w:val="-21"/>
          <w:sz w:val="72"/>
        </w:rPr>
        <w:t>年度四川省人民政府</w:t>
      </w:r>
      <w:r>
        <w:rPr>
          <w:rFonts w:hint="eastAsia" w:ascii="宋体" w:eastAsia="宋体"/>
          <w:sz w:val="72"/>
        </w:rPr>
        <w:t>驻厦门办事处单位决算</w:t>
      </w:r>
    </w:p>
    <w:p>
      <w:pPr>
        <w:spacing w:after="0" w:line="364" w:lineRule="auto"/>
        <w:jc w:val="left"/>
        <w:rPr>
          <w:rFonts w:hint="eastAsia" w:ascii="宋体" w:eastAsia="宋体"/>
          <w:sz w:val="72"/>
        </w:rPr>
        <w:sectPr>
          <w:type w:val="continuous"/>
          <w:pgSz w:w="11910" w:h="16840"/>
          <w:pgMar w:top="1580" w:right="1480" w:bottom="280" w:left="1660" w:header="720" w:footer="720" w:gutter="0"/>
          <w:cols w:space="720" w:num="1"/>
        </w:sectPr>
      </w:pPr>
    </w:p>
    <w:p>
      <w:pPr>
        <w:spacing w:before="5"/>
        <w:ind w:left="1304" w:right="1485" w:firstLine="0"/>
        <w:jc w:val="center"/>
        <w:rPr>
          <w:rFonts w:hint="eastAsia" w:ascii="黑体" w:eastAsia="黑体"/>
          <w:sz w:val="48"/>
        </w:rPr>
      </w:pPr>
      <w:r>
        <w:rPr>
          <w:rFonts w:hint="eastAsia" w:ascii="黑体" w:eastAsia="黑体"/>
          <w:sz w:val="48"/>
        </w:rPr>
        <w:t>目录</w:t>
      </w:r>
    </w:p>
    <w:p>
      <w:pPr>
        <w:pStyle w:val="4"/>
        <w:spacing w:before="9"/>
        <w:ind w:left="0"/>
        <w:rPr>
          <w:rFonts w:ascii="黑体"/>
          <w:sz w:val="66"/>
        </w:rPr>
      </w:pPr>
    </w:p>
    <w:p>
      <w:pPr>
        <w:spacing w:before="0"/>
        <w:ind w:left="1305" w:right="1482" w:firstLine="0"/>
        <w:jc w:val="center"/>
        <w:rPr>
          <w:sz w:val="28"/>
        </w:rPr>
      </w:pPr>
      <w:r>
        <w:rPr>
          <w:sz w:val="28"/>
        </w:rPr>
        <w:t>公开时间：2021 年 9 月 10 日</w:t>
      </w:r>
    </w:p>
    <w:p>
      <w:pPr>
        <w:spacing w:after="0"/>
        <w:jc w:val="center"/>
        <w:rPr>
          <w:sz w:val="28"/>
        </w:rPr>
        <w:sectPr>
          <w:pgSz w:w="11910" w:h="16840"/>
          <w:pgMar w:top="1420" w:right="1480" w:bottom="1679" w:left="1660" w:header="720" w:footer="720" w:gutter="0"/>
          <w:cols w:space="720" w:num="1"/>
        </w:sectPr>
      </w:pPr>
    </w:p>
    <w:sdt>
      <w:sdtPr>
        <w:id w:val="1"/>
        <w:docPartObj>
          <w:docPartGallery w:val="Table of Contents"/>
          <w:docPartUnique/>
        </w:docPartObj>
      </w:sdtPr>
      <w:sdtContent>
        <w:p>
          <w:pPr>
            <w:pStyle w:val="5"/>
            <w:tabs>
              <w:tab w:val="right" w:leader="dot" w:pos="8359"/>
            </w:tabs>
            <w:spacing w:before="557"/>
            <w:rPr>
              <w:rFonts w:ascii="Times New Roman" w:eastAsia="Times New Roman"/>
            </w:rPr>
          </w:pPr>
          <w:r>
            <w:fldChar w:fldCharType="begin"/>
          </w:r>
          <w:r>
            <w:instrText xml:space="preserve"> HYPERLINK \l "_TOC_250004" </w:instrText>
          </w:r>
          <w:r>
            <w:fldChar w:fldCharType="separate"/>
          </w:r>
          <w:r>
            <w:rPr>
              <w:rFonts w:hint="eastAsia" w:ascii="黑体" w:eastAsia="黑体"/>
            </w:rPr>
            <w:t>第一部分单位概况</w:t>
          </w:r>
          <w:r>
            <w:rPr>
              <w:rFonts w:hint="eastAsia" w:ascii="黑体" w:eastAsia="黑体"/>
            </w:rPr>
            <w:tab/>
          </w:r>
          <w:r>
            <w:rPr>
              <w:rFonts w:ascii="Times New Roman" w:eastAsia="Times New Roman"/>
            </w:rPr>
            <w:t>1</w:t>
          </w:r>
          <w:r>
            <w:rPr>
              <w:rFonts w:ascii="Times New Roman" w:eastAsia="Times New Roman"/>
            </w:rPr>
            <w:fldChar w:fldCharType="end"/>
          </w:r>
        </w:p>
        <w:p>
          <w:pPr>
            <w:pStyle w:val="5"/>
            <w:tabs>
              <w:tab w:val="right" w:leader="dot" w:pos="8359"/>
            </w:tabs>
            <w:spacing w:before="134"/>
            <w:rPr>
              <w:rFonts w:ascii="Times New Roman" w:eastAsia="Times New Roman"/>
            </w:rPr>
          </w:pPr>
          <w:r>
            <w:t>一、职能简介</w:t>
          </w:r>
          <w:r>
            <w:tab/>
          </w:r>
          <w:r>
            <w:rPr>
              <w:rFonts w:ascii="Times New Roman" w:eastAsia="Times New Roman"/>
            </w:rPr>
            <w:t>1</w:t>
          </w:r>
        </w:p>
        <w:p>
          <w:pPr>
            <w:pStyle w:val="5"/>
            <w:tabs>
              <w:tab w:val="right" w:leader="dot" w:pos="8359"/>
            </w:tabs>
            <w:rPr>
              <w:rFonts w:ascii="Times New Roman" w:eastAsia="Times New Roman"/>
            </w:rPr>
          </w:pPr>
          <w:r>
            <w:t>二、</w:t>
          </w:r>
          <w:r>
            <w:rPr>
              <w:rFonts w:ascii="Times New Roman" w:eastAsia="Times New Roman"/>
            </w:rPr>
            <w:t xml:space="preserve">2020 </w:t>
          </w:r>
          <w:r>
            <w:t>年重点工作完成情况</w:t>
          </w:r>
          <w:r>
            <w:tab/>
          </w:r>
          <w:r>
            <w:rPr>
              <w:rFonts w:ascii="Times New Roman" w:eastAsia="Times New Roman"/>
            </w:rPr>
            <w:t>1</w:t>
          </w:r>
        </w:p>
        <w:p>
          <w:pPr>
            <w:pStyle w:val="5"/>
            <w:tabs>
              <w:tab w:val="right" w:leader="dot" w:pos="8359"/>
            </w:tabs>
            <w:rPr>
              <w:rFonts w:ascii="Times New Roman" w:eastAsia="Times New Roman"/>
            </w:rPr>
          </w:pPr>
          <w:r>
            <w:rPr>
              <w:rFonts w:hint="eastAsia"/>
              <w:lang w:val="en-US" w:eastAsia="zh-CN"/>
            </w:rPr>
            <w:t>三</w:t>
          </w:r>
          <w:r>
            <w:t>、</w:t>
          </w:r>
          <w:r>
            <w:rPr>
              <w:rFonts w:hint="eastAsia"/>
              <w:lang w:val="en-US" w:eastAsia="zh-CN"/>
            </w:rPr>
            <w:t>机构设置</w:t>
          </w:r>
          <w:r>
            <w:tab/>
          </w:r>
          <w:r>
            <w:rPr>
              <w:rFonts w:ascii="Times New Roman" w:eastAsia="Times New Roman"/>
            </w:rPr>
            <w:t>1</w:t>
          </w:r>
        </w:p>
        <w:p>
          <w:pPr>
            <w:pStyle w:val="5"/>
            <w:tabs>
              <w:tab w:val="right" w:leader="dot" w:pos="8359"/>
            </w:tabs>
            <w:rPr>
              <w:rFonts w:ascii="Times New Roman" w:eastAsia="Times New Roman"/>
            </w:rPr>
          </w:pPr>
          <w:r>
            <w:fldChar w:fldCharType="begin"/>
          </w:r>
          <w:r>
            <w:instrText xml:space="preserve"> HYPERLINK \l "_TOC_250003" </w:instrText>
          </w:r>
          <w:r>
            <w:fldChar w:fldCharType="separate"/>
          </w:r>
          <w:r>
            <w:rPr>
              <w:rFonts w:hint="eastAsia" w:ascii="黑体" w:eastAsia="黑体"/>
            </w:rPr>
            <w:t xml:space="preserve">第二部分 </w:t>
          </w:r>
          <w:r>
            <w:rPr>
              <w:rFonts w:ascii="Times New Roman" w:eastAsia="Times New Roman"/>
            </w:rPr>
            <w:t xml:space="preserve">2020 </w:t>
          </w:r>
          <w:r>
            <w:rPr>
              <w:rFonts w:hint="eastAsia" w:ascii="黑体" w:eastAsia="黑体"/>
            </w:rPr>
            <w:t>年度单位决算情况说明</w:t>
          </w:r>
          <w:r>
            <w:rPr>
              <w:rFonts w:hint="eastAsia" w:ascii="黑体" w:eastAsia="黑体"/>
            </w:rPr>
            <w:tab/>
          </w:r>
          <w:r>
            <w:rPr>
              <w:rFonts w:ascii="Times New Roman" w:eastAsia="Times New Roman"/>
            </w:rPr>
            <w:t>5</w:t>
          </w:r>
          <w:r>
            <w:rPr>
              <w:rFonts w:ascii="Times New Roman" w:eastAsia="Times New Roman"/>
            </w:rPr>
            <w:fldChar w:fldCharType="end"/>
          </w:r>
        </w:p>
        <w:p>
          <w:pPr>
            <w:pStyle w:val="5"/>
            <w:tabs>
              <w:tab w:val="right" w:leader="dot" w:pos="8359"/>
            </w:tabs>
            <w:spacing w:before="134"/>
            <w:rPr>
              <w:rFonts w:ascii="Times New Roman" w:eastAsia="Times New Roman"/>
            </w:rPr>
          </w:pPr>
          <w:r>
            <w:t>一、收入支出决算总体情况说明</w:t>
          </w:r>
          <w:r>
            <w:tab/>
          </w:r>
          <w:r>
            <w:rPr>
              <w:rFonts w:ascii="Times New Roman" w:eastAsia="Times New Roman"/>
            </w:rPr>
            <w:t>5</w:t>
          </w:r>
        </w:p>
        <w:p>
          <w:pPr>
            <w:pStyle w:val="5"/>
            <w:tabs>
              <w:tab w:val="right" w:leader="dot" w:pos="8359"/>
            </w:tabs>
            <w:rPr>
              <w:rFonts w:ascii="Times New Roman" w:eastAsia="Times New Roman"/>
            </w:rPr>
          </w:pPr>
          <w:r>
            <w:t>二、收入决算情况说明</w:t>
          </w:r>
          <w:r>
            <w:tab/>
          </w:r>
          <w:r>
            <w:rPr>
              <w:rFonts w:ascii="Times New Roman" w:eastAsia="Times New Roman"/>
            </w:rPr>
            <w:t>5</w:t>
          </w:r>
        </w:p>
        <w:p>
          <w:pPr>
            <w:pStyle w:val="5"/>
            <w:tabs>
              <w:tab w:val="right" w:leader="dot" w:pos="8359"/>
            </w:tabs>
            <w:spacing w:before="131"/>
            <w:rPr>
              <w:rFonts w:ascii="Times New Roman" w:eastAsia="Times New Roman"/>
            </w:rPr>
          </w:pPr>
          <w:r>
            <w:t>三、支出决算情况说明</w:t>
          </w:r>
          <w:r>
            <w:tab/>
          </w:r>
          <w:r>
            <w:rPr>
              <w:rFonts w:ascii="Times New Roman" w:eastAsia="Times New Roman"/>
            </w:rPr>
            <w:t>6</w:t>
          </w:r>
        </w:p>
        <w:p>
          <w:pPr>
            <w:pStyle w:val="5"/>
            <w:tabs>
              <w:tab w:val="right" w:leader="dot" w:pos="8359"/>
            </w:tabs>
            <w:spacing w:before="134"/>
            <w:rPr>
              <w:rFonts w:ascii="Times New Roman" w:eastAsia="Times New Roman"/>
            </w:rPr>
          </w:pPr>
          <w:r>
            <w:t>四、财政拨款收入支出决算总体情况说明</w:t>
          </w:r>
          <w:r>
            <w:tab/>
          </w:r>
          <w:r>
            <w:rPr>
              <w:rFonts w:ascii="Times New Roman" w:eastAsia="Times New Roman"/>
            </w:rPr>
            <w:t>7</w:t>
          </w:r>
        </w:p>
        <w:p>
          <w:pPr>
            <w:pStyle w:val="5"/>
            <w:tabs>
              <w:tab w:val="right" w:leader="dot" w:pos="8359"/>
            </w:tabs>
            <w:rPr>
              <w:rFonts w:ascii="Times New Roman" w:eastAsia="Times New Roman"/>
            </w:rPr>
          </w:pPr>
          <w:r>
            <w:t>五、一般公共预算财政拨款支出决算情况说明</w:t>
          </w:r>
          <w:r>
            <w:tab/>
          </w:r>
          <w:r>
            <w:rPr>
              <w:rFonts w:ascii="Times New Roman" w:eastAsia="Times New Roman"/>
            </w:rPr>
            <w:t>7</w:t>
          </w:r>
        </w:p>
        <w:p>
          <w:pPr>
            <w:pStyle w:val="5"/>
            <w:tabs>
              <w:tab w:val="right" w:leader="dot" w:pos="8419"/>
            </w:tabs>
            <w:rPr>
              <w:rFonts w:ascii="Times New Roman" w:eastAsia="Times New Roman"/>
            </w:rPr>
          </w:pPr>
          <w:r>
            <w:t>六、一般公共预算财政拨款基本支出决算情况说明</w:t>
          </w:r>
          <w:r>
            <w:tab/>
          </w:r>
          <w:r>
            <w:rPr>
              <w:rFonts w:ascii="Times New Roman" w:eastAsia="Times New Roman"/>
            </w:rPr>
            <w:t>10</w:t>
          </w:r>
        </w:p>
        <w:p>
          <w:pPr>
            <w:pStyle w:val="5"/>
            <w:tabs>
              <w:tab w:val="right" w:leader="dot" w:pos="8383"/>
            </w:tabs>
            <w:spacing w:before="134"/>
            <w:rPr>
              <w:rFonts w:ascii="Times New Roman" w:hAnsi="Times New Roman" w:eastAsia="Times New Roman"/>
            </w:rPr>
          </w:pPr>
          <w:r>
            <w:t>七、</w:t>
          </w:r>
          <w:r>
            <w:rPr>
              <w:rFonts w:ascii="Times New Roman" w:hAnsi="Times New Roman" w:eastAsia="Times New Roman"/>
            </w:rPr>
            <w:t>“</w:t>
          </w:r>
          <w:r>
            <w:t>三公</w:t>
          </w:r>
          <w:r>
            <w:rPr>
              <w:rFonts w:ascii="Times New Roman" w:hAnsi="Times New Roman" w:eastAsia="Times New Roman"/>
            </w:rPr>
            <w:t>”</w:t>
          </w:r>
          <w:r>
            <w:t>经费财政拨款支出决算情况说明</w:t>
          </w:r>
          <w:r>
            <w:tab/>
          </w:r>
          <w:r>
            <w:rPr>
              <w:rFonts w:ascii="Times New Roman" w:hAnsi="Times New Roman" w:eastAsia="Times New Roman"/>
              <w:spacing w:val="-5"/>
            </w:rPr>
            <w:t>11</w:t>
          </w:r>
        </w:p>
        <w:p>
          <w:pPr>
            <w:pStyle w:val="5"/>
            <w:tabs>
              <w:tab w:val="right" w:leader="dot" w:pos="8419"/>
            </w:tabs>
            <w:rPr>
              <w:rFonts w:ascii="Times New Roman" w:eastAsia="Times New Roman"/>
            </w:rPr>
          </w:pPr>
          <w:r>
            <w:t>八、政府性基金预算支出决算情况说明</w:t>
          </w:r>
          <w:r>
            <w:tab/>
          </w:r>
          <w:r>
            <w:rPr>
              <w:rFonts w:ascii="Times New Roman" w:eastAsia="Times New Roman"/>
            </w:rPr>
            <w:t>13</w:t>
          </w:r>
        </w:p>
        <w:p>
          <w:pPr>
            <w:pStyle w:val="5"/>
            <w:tabs>
              <w:tab w:val="right" w:leader="dot" w:pos="8419"/>
            </w:tabs>
            <w:spacing w:before="131"/>
            <w:rPr>
              <w:rFonts w:ascii="Times New Roman" w:eastAsia="Times New Roman"/>
            </w:rPr>
          </w:pPr>
          <w:r>
            <w:t>九、国有资本经营预算支出决算情况说明</w:t>
          </w:r>
          <w:r>
            <w:tab/>
          </w:r>
          <w:r>
            <w:rPr>
              <w:rFonts w:ascii="Times New Roman" w:eastAsia="Times New Roman"/>
            </w:rPr>
            <w:t>13</w:t>
          </w:r>
        </w:p>
        <w:p>
          <w:pPr>
            <w:pStyle w:val="5"/>
            <w:tabs>
              <w:tab w:val="right" w:leader="dot" w:pos="8419"/>
            </w:tabs>
            <w:spacing w:before="134"/>
            <w:rPr>
              <w:rFonts w:ascii="Times New Roman" w:eastAsia="Times New Roman"/>
            </w:rPr>
          </w:pPr>
          <w:r>
            <w:t>十、其他重要事项的情况说明</w:t>
          </w:r>
          <w:r>
            <w:tab/>
          </w:r>
          <w:r>
            <w:rPr>
              <w:rFonts w:ascii="Times New Roman" w:eastAsia="Times New Roman"/>
            </w:rPr>
            <w:t>13</w:t>
          </w:r>
        </w:p>
        <w:p>
          <w:pPr>
            <w:pStyle w:val="5"/>
            <w:tabs>
              <w:tab w:val="right" w:leader="dot" w:pos="8419"/>
            </w:tabs>
            <w:rPr>
              <w:rFonts w:ascii="Times New Roman" w:eastAsia="Times New Roman"/>
            </w:rPr>
          </w:pPr>
          <w:r>
            <w:fldChar w:fldCharType="begin"/>
          </w:r>
          <w:r>
            <w:instrText xml:space="preserve"> HYPERLINK \l "_TOC_250002" </w:instrText>
          </w:r>
          <w:r>
            <w:fldChar w:fldCharType="separate"/>
          </w:r>
          <w:r>
            <w:rPr>
              <w:rFonts w:hint="eastAsia" w:ascii="黑体" w:eastAsia="黑体"/>
            </w:rPr>
            <w:t>第三部分名词解释</w:t>
          </w:r>
          <w:r>
            <w:rPr>
              <w:rFonts w:hint="eastAsia" w:ascii="黑体" w:eastAsia="黑体"/>
            </w:rPr>
            <w:tab/>
          </w:r>
          <w:r>
            <w:rPr>
              <w:rFonts w:ascii="Times New Roman" w:eastAsia="Times New Roman"/>
            </w:rPr>
            <w:t>15</w:t>
          </w:r>
          <w:r>
            <w:rPr>
              <w:rFonts w:ascii="Times New Roman" w:eastAsia="Times New Roman"/>
            </w:rPr>
            <w:fldChar w:fldCharType="end"/>
          </w:r>
        </w:p>
        <w:p>
          <w:pPr>
            <w:pStyle w:val="5"/>
            <w:tabs>
              <w:tab w:val="right" w:leader="dot" w:pos="8419"/>
            </w:tabs>
            <w:rPr>
              <w:rFonts w:ascii="Times New Roman" w:eastAsia="Times New Roman"/>
            </w:rPr>
          </w:pPr>
          <w:r>
            <w:fldChar w:fldCharType="begin"/>
          </w:r>
          <w:r>
            <w:instrText xml:space="preserve"> HYPERLINK \l "_TOC_250001" </w:instrText>
          </w:r>
          <w:r>
            <w:fldChar w:fldCharType="separate"/>
          </w:r>
          <w:r>
            <w:rPr>
              <w:rFonts w:hint="eastAsia" w:ascii="黑体" w:eastAsia="黑体"/>
            </w:rPr>
            <w:t>第四部分附件</w:t>
          </w:r>
          <w:r>
            <w:rPr>
              <w:rFonts w:hint="eastAsia" w:ascii="黑体" w:eastAsia="黑体"/>
            </w:rPr>
            <w:tab/>
          </w:r>
          <w:r>
            <w:rPr>
              <w:rFonts w:ascii="Times New Roman" w:eastAsia="Times New Roman"/>
            </w:rPr>
            <w:t>18</w:t>
          </w:r>
          <w:r>
            <w:rPr>
              <w:rFonts w:ascii="Times New Roman" w:eastAsia="Times New Roman"/>
            </w:rPr>
            <w:fldChar w:fldCharType="end"/>
          </w:r>
        </w:p>
        <w:p>
          <w:pPr>
            <w:pStyle w:val="5"/>
            <w:tabs>
              <w:tab w:val="right" w:leader="dot" w:pos="8419"/>
            </w:tabs>
            <w:spacing w:before="134"/>
            <w:rPr>
              <w:rFonts w:ascii="Times New Roman" w:eastAsia="Times New Roman"/>
            </w:rPr>
          </w:pPr>
          <w:r>
            <w:fldChar w:fldCharType="begin"/>
          </w:r>
          <w:r>
            <w:instrText xml:space="preserve"> HYPERLINK \l "_TOC_250000" </w:instrText>
          </w:r>
          <w:r>
            <w:fldChar w:fldCharType="separate"/>
          </w:r>
          <w:r>
            <w:rPr>
              <w:rFonts w:hint="eastAsia" w:ascii="黑体" w:eastAsia="黑体"/>
            </w:rPr>
            <w:t>第五部分附表</w:t>
          </w:r>
          <w:r>
            <w:rPr>
              <w:rFonts w:hint="eastAsia" w:ascii="黑体" w:eastAsia="黑体"/>
            </w:rPr>
            <w:tab/>
          </w:r>
          <w:r>
            <w:rPr>
              <w:rFonts w:ascii="Times New Roman" w:eastAsia="Times New Roman"/>
            </w:rPr>
            <w:t>19</w:t>
          </w:r>
          <w:r>
            <w:rPr>
              <w:rFonts w:ascii="Times New Roman" w:eastAsia="Times New Roman"/>
            </w:rPr>
            <w:fldChar w:fldCharType="end"/>
          </w:r>
        </w:p>
        <w:p>
          <w:pPr>
            <w:pStyle w:val="5"/>
            <w:tabs>
              <w:tab w:val="right" w:leader="dot" w:pos="8419"/>
            </w:tabs>
            <w:rPr>
              <w:rFonts w:ascii="Times New Roman" w:eastAsia="Times New Roman"/>
            </w:rPr>
          </w:pPr>
          <w:r>
            <w:t>一、收入支出决算总表</w:t>
          </w:r>
          <w:r>
            <w:tab/>
          </w:r>
          <w:r>
            <w:rPr>
              <w:rFonts w:ascii="Times New Roman" w:eastAsia="Times New Roman"/>
            </w:rPr>
            <w:t>19</w:t>
          </w:r>
        </w:p>
        <w:p>
          <w:pPr>
            <w:pStyle w:val="5"/>
            <w:tabs>
              <w:tab w:val="right" w:leader="dot" w:pos="8419"/>
            </w:tabs>
            <w:spacing w:before="131"/>
            <w:rPr>
              <w:rFonts w:ascii="Times New Roman" w:eastAsia="Times New Roman"/>
            </w:rPr>
          </w:pPr>
          <w:r>
            <w:t>二、收入决算表</w:t>
          </w:r>
          <w:r>
            <w:tab/>
          </w:r>
          <w:r>
            <w:rPr>
              <w:rFonts w:ascii="Times New Roman" w:eastAsia="Times New Roman"/>
            </w:rPr>
            <w:t>19</w:t>
          </w:r>
        </w:p>
        <w:p>
          <w:pPr>
            <w:pStyle w:val="5"/>
            <w:tabs>
              <w:tab w:val="right" w:leader="dot" w:pos="8419"/>
            </w:tabs>
            <w:spacing w:before="134"/>
            <w:rPr>
              <w:rFonts w:ascii="Times New Roman" w:eastAsia="Times New Roman"/>
            </w:rPr>
          </w:pPr>
          <w:r>
            <w:t>三、支出决算表</w:t>
          </w:r>
          <w:r>
            <w:tab/>
          </w:r>
          <w:r>
            <w:rPr>
              <w:rFonts w:ascii="Times New Roman" w:eastAsia="Times New Roman"/>
            </w:rPr>
            <w:t>19</w:t>
          </w:r>
        </w:p>
        <w:p>
          <w:pPr>
            <w:pStyle w:val="5"/>
            <w:tabs>
              <w:tab w:val="right" w:leader="dot" w:pos="8419"/>
            </w:tabs>
            <w:rPr>
              <w:rFonts w:ascii="Times New Roman" w:eastAsia="Times New Roman"/>
            </w:rPr>
          </w:pPr>
          <w:r>
            <w:t>四、财政拨款收入支出决算总表</w:t>
          </w:r>
          <w:r>
            <w:tab/>
          </w:r>
          <w:r>
            <w:rPr>
              <w:rFonts w:ascii="Times New Roman" w:eastAsia="Times New Roman"/>
            </w:rPr>
            <w:t>19</w:t>
          </w:r>
        </w:p>
        <w:p>
          <w:pPr>
            <w:pStyle w:val="5"/>
            <w:tabs>
              <w:tab w:val="right" w:leader="dot" w:pos="8419"/>
            </w:tabs>
            <w:rPr>
              <w:rFonts w:ascii="Times New Roman" w:eastAsia="Times New Roman"/>
            </w:rPr>
          </w:pPr>
          <w:r>
            <w:t>五、财政拨款支出决算明细表</w:t>
          </w:r>
          <w:r>
            <w:tab/>
          </w:r>
          <w:r>
            <w:rPr>
              <w:rFonts w:ascii="Times New Roman" w:eastAsia="Times New Roman"/>
            </w:rPr>
            <w:t>19</w:t>
          </w:r>
        </w:p>
        <w:p>
          <w:pPr>
            <w:pStyle w:val="5"/>
            <w:tabs>
              <w:tab w:val="right" w:leader="dot" w:pos="8419"/>
            </w:tabs>
            <w:spacing w:before="134"/>
            <w:rPr>
              <w:rFonts w:ascii="Times New Roman" w:eastAsia="Times New Roman"/>
            </w:rPr>
          </w:pPr>
          <w:r>
            <w:t>六、一般公共预算财政拨款支出决算表</w:t>
          </w:r>
          <w:r>
            <w:tab/>
          </w:r>
          <w:r>
            <w:rPr>
              <w:rFonts w:ascii="Times New Roman" w:eastAsia="Times New Roman"/>
            </w:rPr>
            <w:t>19</w:t>
          </w:r>
        </w:p>
        <w:p>
          <w:pPr>
            <w:pStyle w:val="5"/>
            <w:tabs>
              <w:tab w:val="right" w:leader="dot" w:pos="8419"/>
            </w:tabs>
            <w:rPr>
              <w:rFonts w:ascii="Times New Roman" w:eastAsia="Times New Roman"/>
            </w:rPr>
          </w:pPr>
          <w:r>
            <w:t>七、一般公共预算财政拨款支出决算明细表</w:t>
          </w:r>
          <w:r>
            <w:tab/>
          </w:r>
          <w:r>
            <w:rPr>
              <w:rFonts w:ascii="Times New Roman" w:eastAsia="Times New Roman"/>
            </w:rPr>
            <w:t>19</w:t>
          </w:r>
        </w:p>
        <w:p>
          <w:pPr>
            <w:pStyle w:val="5"/>
            <w:tabs>
              <w:tab w:val="right" w:leader="dot" w:pos="8419"/>
            </w:tabs>
            <w:spacing w:before="131"/>
            <w:rPr>
              <w:rFonts w:ascii="Times New Roman" w:eastAsia="Times New Roman"/>
            </w:rPr>
          </w:pPr>
          <w:r>
            <w:t>八、一般公共预算财政拨款基本支出决算表</w:t>
          </w:r>
          <w:r>
            <w:tab/>
          </w:r>
          <w:r>
            <w:rPr>
              <w:rFonts w:ascii="Times New Roman" w:eastAsia="Times New Roman"/>
            </w:rPr>
            <w:t>19</w:t>
          </w:r>
        </w:p>
        <w:p>
          <w:pPr>
            <w:pStyle w:val="5"/>
            <w:tabs>
              <w:tab w:val="right" w:leader="dot" w:pos="8419"/>
            </w:tabs>
            <w:spacing w:before="134" w:after="20"/>
            <w:rPr>
              <w:rFonts w:ascii="Times New Roman" w:eastAsia="Times New Roman"/>
            </w:rPr>
          </w:pPr>
          <w:r>
            <w:t>九、一般公共预算财政拨款项目支出决算表</w:t>
          </w:r>
          <w:r>
            <w:tab/>
          </w:r>
          <w:r>
            <w:rPr>
              <w:rFonts w:ascii="Times New Roman" w:eastAsia="Times New Roman"/>
            </w:rPr>
            <w:t>19</w:t>
          </w:r>
        </w:p>
        <w:p>
          <w:pPr>
            <w:pStyle w:val="5"/>
            <w:tabs>
              <w:tab w:val="right" w:leader="dot" w:pos="8419"/>
            </w:tabs>
            <w:spacing w:before="134" w:after="20"/>
            <w:rPr>
              <w:rFonts w:ascii="Times New Roman" w:eastAsia="Times New Roman"/>
            </w:rPr>
          </w:pPr>
          <w:r>
            <w:rPr>
              <w:rFonts w:hint="eastAsia"/>
              <w:lang w:val="en-US" w:eastAsia="zh-CN"/>
            </w:rPr>
            <w:t>十</w:t>
          </w:r>
          <w:r>
            <w:t>、一般公共预算财政拨款</w:t>
          </w:r>
          <w:r>
            <w:rPr>
              <w:rFonts w:ascii="Times New Roman" w:hAnsi="Times New Roman" w:eastAsia="Times New Roman"/>
            </w:rPr>
            <w:t>“</w:t>
          </w:r>
          <w:r>
            <w:t>三公</w:t>
          </w:r>
          <w:r>
            <w:rPr>
              <w:rFonts w:ascii="Times New Roman" w:hAnsi="Times New Roman" w:eastAsia="Times New Roman"/>
            </w:rPr>
            <w:t>”</w:t>
          </w:r>
          <w:r>
            <w:t>经费支出决算表</w:t>
          </w:r>
          <w:r>
            <w:tab/>
          </w:r>
          <w:r>
            <w:rPr>
              <w:rFonts w:ascii="Times New Roman" w:eastAsia="Times New Roman"/>
            </w:rPr>
            <w:t>19</w:t>
          </w:r>
        </w:p>
        <w:p>
          <w:pPr>
            <w:pStyle w:val="5"/>
            <w:tabs>
              <w:tab w:val="right" w:leader="dot" w:pos="8419"/>
            </w:tabs>
            <w:spacing w:before="134" w:after="20"/>
            <w:rPr>
              <w:rFonts w:ascii="Times New Roman" w:eastAsia="Times New Roman"/>
            </w:rPr>
          </w:pPr>
          <w:r>
            <w:rPr>
              <w:rFonts w:hint="eastAsia"/>
              <w:lang w:val="en-US" w:eastAsia="zh-CN"/>
            </w:rPr>
            <w:t>十一</w:t>
          </w:r>
          <w:r>
            <w:t>、政府性基金预算财政拨款收入支出决算表</w:t>
          </w:r>
          <w:r>
            <w:tab/>
          </w:r>
          <w:r>
            <w:rPr>
              <w:rFonts w:ascii="Times New Roman" w:eastAsia="Times New Roman"/>
            </w:rPr>
            <w:t>19</w:t>
          </w:r>
        </w:p>
        <w:p>
          <w:pPr>
            <w:pStyle w:val="5"/>
            <w:tabs>
              <w:tab w:val="right" w:leader="dot" w:pos="8419"/>
            </w:tabs>
            <w:spacing w:before="134" w:after="20"/>
            <w:rPr>
              <w:rFonts w:ascii="Times New Roman" w:eastAsia="Times New Roman"/>
            </w:rPr>
          </w:pPr>
          <w:r>
            <w:rPr>
              <w:rFonts w:hint="eastAsia"/>
              <w:lang w:val="en-US" w:eastAsia="zh-CN"/>
            </w:rPr>
            <w:t>十二</w:t>
          </w:r>
          <w:r>
            <w:t>、政府性基金预算财政拨款</w:t>
          </w:r>
          <w:r>
            <w:rPr>
              <w:rFonts w:ascii="Times New Roman" w:hAnsi="Times New Roman" w:eastAsia="Times New Roman"/>
            </w:rPr>
            <w:t>“</w:t>
          </w:r>
          <w:r>
            <w:t>三公</w:t>
          </w:r>
          <w:r>
            <w:rPr>
              <w:rFonts w:ascii="Times New Roman" w:hAnsi="Times New Roman" w:eastAsia="Times New Roman"/>
            </w:rPr>
            <w:t>”</w:t>
          </w:r>
          <w:r>
            <w:t>经费支出决算表</w:t>
          </w:r>
          <w:r>
            <w:tab/>
          </w:r>
          <w:r>
            <w:rPr>
              <w:rFonts w:ascii="Times New Roman" w:eastAsia="Times New Roman"/>
            </w:rPr>
            <w:t>19</w:t>
          </w:r>
        </w:p>
        <w:p>
          <w:pPr>
            <w:pStyle w:val="5"/>
            <w:tabs>
              <w:tab w:val="right" w:leader="dot" w:pos="8419"/>
            </w:tabs>
            <w:spacing w:before="134" w:after="20"/>
            <w:rPr>
              <w:rFonts w:ascii="Times New Roman" w:eastAsia="Times New Roman"/>
            </w:rPr>
          </w:pPr>
          <w:r>
            <w:rPr>
              <w:rFonts w:hint="eastAsia"/>
              <w:lang w:val="en-US" w:eastAsia="zh-CN"/>
            </w:rPr>
            <w:t>十三</w:t>
          </w:r>
          <w:r>
            <w:t>、国有资本经营预算财政拨款收入支出决算表</w:t>
          </w:r>
          <w:r>
            <w:tab/>
          </w:r>
          <w:r>
            <w:rPr>
              <w:rFonts w:ascii="Times New Roman" w:eastAsia="Times New Roman"/>
            </w:rPr>
            <w:t>19</w:t>
          </w:r>
        </w:p>
        <w:p>
          <w:pPr>
            <w:pStyle w:val="5"/>
            <w:tabs>
              <w:tab w:val="right" w:leader="dot" w:pos="8419"/>
            </w:tabs>
            <w:spacing w:before="134" w:after="20"/>
            <w:rPr>
              <w:rFonts w:ascii="Times New Roman" w:eastAsia="Times New Roman"/>
            </w:rPr>
          </w:pPr>
          <w:r>
            <w:rPr>
              <w:rFonts w:hint="eastAsia"/>
              <w:lang w:val="en-US" w:eastAsia="zh-CN"/>
            </w:rPr>
            <w:t>十四</w:t>
          </w:r>
          <w:r>
            <w:t>、国有资本经营预算财政拨款支出决算表</w:t>
          </w:r>
          <w:r>
            <w:tab/>
          </w:r>
          <w:r>
            <w:rPr>
              <w:rFonts w:ascii="Times New Roman" w:eastAsia="Times New Roman"/>
            </w:rPr>
            <w:t>19</w:t>
          </w:r>
        </w:p>
      </w:sdtContent>
    </w:sdt>
    <w:p>
      <w:pPr>
        <w:spacing w:after="0"/>
        <w:rPr>
          <w:rFonts w:ascii="Times New Roman" w:eastAsia="Times New Roman"/>
        </w:rPr>
        <w:sectPr>
          <w:type w:val="continuous"/>
          <w:pgSz w:w="11910" w:h="16840"/>
          <w:pgMar w:top="1500" w:right="1480" w:bottom="1679" w:left="1660" w:header="720" w:footer="720" w:gutter="0"/>
          <w:cols w:space="720" w:num="1"/>
        </w:sectPr>
      </w:pPr>
    </w:p>
    <w:p>
      <w:pPr>
        <w:pStyle w:val="2"/>
        <w:spacing w:before="25"/>
        <w:ind w:right="1485"/>
      </w:pPr>
      <w:bookmarkStart w:id="1" w:name="_TOC_250004"/>
      <w:bookmarkEnd w:id="1"/>
      <w:r>
        <w:t>第一部分 单位概况</w:t>
      </w:r>
    </w:p>
    <w:p>
      <w:pPr>
        <w:pStyle w:val="4"/>
        <w:ind w:left="0"/>
        <w:rPr>
          <w:rFonts w:ascii="黑体"/>
          <w:sz w:val="44"/>
        </w:rPr>
      </w:pPr>
    </w:p>
    <w:p>
      <w:pPr>
        <w:pStyle w:val="4"/>
        <w:spacing w:before="1"/>
        <w:ind w:left="0"/>
        <w:rPr>
          <w:rFonts w:ascii="黑体"/>
          <w:sz w:val="46"/>
        </w:rPr>
      </w:pPr>
    </w:p>
    <w:p>
      <w:pPr>
        <w:spacing w:before="1"/>
        <w:ind w:left="780" w:right="0" w:firstLine="0"/>
        <w:jc w:val="left"/>
        <w:rPr>
          <w:rFonts w:hint="eastAsia" w:ascii="黑体" w:eastAsia="黑体"/>
          <w:sz w:val="32"/>
        </w:rPr>
      </w:pPr>
      <w:r>
        <w:rPr>
          <w:rFonts w:hint="eastAsia" w:ascii="黑体" w:eastAsia="黑体"/>
          <w:sz w:val="32"/>
          <w:lang w:val="en-US" w:eastAsia="zh-CN"/>
        </w:rPr>
        <w:t>一、</w:t>
      </w:r>
      <w:r>
        <w:rPr>
          <w:rFonts w:hint="eastAsia" w:ascii="黑体" w:eastAsia="黑体"/>
          <w:sz w:val="32"/>
        </w:rPr>
        <w:t>职能简介</w:t>
      </w:r>
    </w:p>
    <w:p>
      <w:pPr>
        <w:pStyle w:val="4"/>
        <w:spacing w:before="173" w:line="280" w:lineRule="auto"/>
        <w:ind w:right="317" w:firstLine="640"/>
        <w:jc w:val="both"/>
      </w:pPr>
      <w:r>
        <w:rPr>
          <w:spacing w:val="13"/>
          <w:w w:val="95"/>
        </w:rPr>
        <w:t>四川省人民政府驻厦门办事处</w:t>
      </w:r>
      <w:r>
        <w:rPr>
          <w:spacing w:val="14"/>
          <w:w w:val="95"/>
        </w:rPr>
        <w:t>（</w:t>
      </w:r>
      <w:r>
        <w:rPr>
          <w:spacing w:val="12"/>
          <w:w w:val="95"/>
        </w:rPr>
        <w:t>四川省对台经济事务 处</w:t>
      </w:r>
      <w:r>
        <w:rPr>
          <w:spacing w:val="-3"/>
          <w:w w:val="95"/>
        </w:rPr>
        <w:t>）</w:t>
      </w:r>
      <w:r>
        <w:rPr>
          <w:spacing w:val="-2"/>
          <w:w w:val="95"/>
        </w:rPr>
        <w:t xml:space="preserve">系四川省人民政府的派出机构，机构规格为副厅级，主 </w:t>
      </w:r>
      <w:r>
        <w:rPr>
          <w:spacing w:val="-3"/>
        </w:rPr>
        <w:t>要职责为促进我省与闽赣台的经贸交流与政务合作等；及时</w:t>
      </w:r>
      <w:r>
        <w:rPr>
          <w:spacing w:val="-5"/>
        </w:rPr>
        <w:t>准确向省委、省政府及省直有关部门提供联系区域政治、经</w:t>
      </w:r>
      <w:r>
        <w:rPr>
          <w:spacing w:val="-4"/>
        </w:rPr>
        <w:t>济、社会信息；承担劳务调研和服务、川籍农民工管理、突</w:t>
      </w:r>
      <w:r>
        <w:rPr>
          <w:spacing w:val="-6"/>
        </w:rPr>
        <w:t>发事件处置等工作，维护我省各类组织机构和人员在联系区</w:t>
      </w:r>
      <w:r>
        <w:rPr>
          <w:spacing w:val="-7"/>
        </w:rPr>
        <w:t>域的合法权益，协助调解劳务纠纷，参与劳务输出和结构性劳动力回流有关工作；以及承办省委、省政府和主管部门交办的其他工作。</w:t>
      </w:r>
    </w:p>
    <w:p>
      <w:pPr>
        <w:pStyle w:val="4"/>
        <w:spacing w:before="43"/>
        <w:ind w:left="780"/>
        <w:rPr>
          <w:rFonts w:hint="eastAsia" w:ascii="黑体" w:eastAsia="黑体"/>
        </w:rPr>
      </w:pPr>
      <w:r>
        <w:rPr>
          <w:rFonts w:hint="eastAsia" w:ascii="黑体" w:eastAsia="黑体"/>
        </w:rPr>
        <w:t>二、</w:t>
      </w:r>
      <w:bookmarkStart w:id="2" w:name="二、2020年重点工作完成情况"/>
      <w:bookmarkEnd w:id="2"/>
      <w:r>
        <w:rPr>
          <w:rFonts w:hint="eastAsia" w:ascii="黑体" w:eastAsia="黑体"/>
        </w:rPr>
        <w:t>2020 年重点工作完成情况</w:t>
      </w:r>
    </w:p>
    <w:p>
      <w:pPr>
        <w:pStyle w:val="3"/>
        <w:numPr>
          <w:ilvl w:val="0"/>
          <w:numId w:val="1"/>
        </w:numPr>
        <w:tabs>
          <w:tab w:val="left" w:pos="1103"/>
        </w:tabs>
        <w:spacing w:before="174" w:after="0" w:line="240" w:lineRule="auto"/>
        <w:ind w:left="1102" w:right="0" w:hanging="323"/>
        <w:jc w:val="left"/>
      </w:pPr>
      <w:r>
        <w:t>凝心聚力应对疫情，严实防控实现零感染</w:t>
      </w:r>
    </w:p>
    <w:p>
      <w:pPr>
        <w:pStyle w:val="4"/>
        <w:spacing w:before="70" w:line="280" w:lineRule="auto"/>
        <w:ind w:right="305" w:firstLine="640"/>
        <w:jc w:val="both"/>
      </w:pPr>
      <w:r>
        <w:rPr>
          <w:spacing w:val="-2"/>
        </w:rPr>
        <w:t>一是干部职工齐心协力，坚决执行党中央、驻地党委政</w:t>
      </w:r>
      <w:r>
        <w:rPr>
          <w:spacing w:val="-4"/>
        </w:rPr>
        <w:t>府疫情防控各项政策措施，指导联系闽赣川籍农民工维权服</w:t>
      </w:r>
      <w:r>
        <w:rPr>
          <w:spacing w:val="-5"/>
        </w:rPr>
        <w:t>务站、流动党员服务中心、妇女之家，宣传动员闽赣川籍企</w:t>
      </w:r>
      <w:r>
        <w:rPr>
          <w:spacing w:val="-7"/>
        </w:rPr>
        <w:t>业科学应对，严格遵守驻地疫情防控措施。二是积极指导闽赣四川（川渝）商会帮助会员企业做好复工复产防控方案， 尽量减小疫情对企业的影响。三是统筹工作力量，班子成员做好干部职工心理疏导，积极帮助干部职工解决实际困难， 通过网络信息平台“屏对屏”开展工作，确保全办干部职工零感染。</w:t>
      </w:r>
    </w:p>
    <w:p>
      <w:pPr>
        <w:pStyle w:val="3"/>
        <w:numPr>
          <w:ilvl w:val="0"/>
          <w:numId w:val="1"/>
        </w:numPr>
        <w:tabs>
          <w:tab w:val="left" w:pos="1103"/>
        </w:tabs>
        <w:spacing w:before="33" w:after="0" w:line="240" w:lineRule="auto"/>
        <w:ind w:left="1102" w:right="0" w:hanging="323"/>
        <w:jc w:val="left"/>
      </w:pPr>
      <w:r>
        <w:rPr>
          <w:w w:val="95"/>
        </w:rPr>
        <w:t>聚焦主业突出主责，川闽赣台经济合作稳步推进</w:t>
      </w:r>
    </w:p>
    <w:p>
      <w:pPr>
        <w:pStyle w:val="4"/>
        <w:spacing w:before="111"/>
        <w:ind w:left="780"/>
      </w:pPr>
      <w:r>
        <w:rPr>
          <w:spacing w:val="-5"/>
        </w:rPr>
        <w:t xml:space="preserve">全年共签约项目 </w:t>
      </w:r>
      <w:r>
        <w:t>94</w:t>
      </w:r>
      <w:r>
        <w:rPr>
          <w:spacing w:val="-15"/>
        </w:rPr>
        <w:t xml:space="preserve"> 个，合同资金 </w:t>
      </w:r>
      <w:r>
        <w:t>1125.96</w:t>
      </w:r>
      <w:r>
        <w:rPr>
          <w:spacing w:val="-9"/>
        </w:rPr>
        <w:t xml:space="preserve"> 亿元，完成</w:t>
      </w:r>
    </w:p>
    <w:p>
      <w:pPr>
        <w:pStyle w:val="4"/>
        <w:spacing w:before="109"/>
      </w:pPr>
      <w:r>
        <w:rPr>
          <w:spacing w:val="-17"/>
        </w:rPr>
        <w:t xml:space="preserve">全年任务 </w:t>
      </w:r>
      <w:r>
        <w:rPr>
          <w:spacing w:val="-6"/>
        </w:rPr>
        <w:t>331.16</w:t>
      </w:r>
      <w:r>
        <w:rPr>
          <w:spacing w:val="-15"/>
        </w:rPr>
        <w:t xml:space="preserve">%，其中完成 </w:t>
      </w:r>
      <w:r>
        <w:t>10-30</w:t>
      </w:r>
      <w:r>
        <w:rPr>
          <w:spacing w:val="-28"/>
        </w:rPr>
        <w:t xml:space="preserve"> 亿元项目 </w:t>
      </w:r>
      <w:r>
        <w:t>19</w:t>
      </w:r>
      <w:r>
        <w:rPr>
          <w:spacing w:val="-23"/>
        </w:rPr>
        <w:t xml:space="preserve"> 个，完成全</w:t>
      </w:r>
    </w:p>
    <w:p>
      <w:pPr>
        <w:spacing w:after="0"/>
        <w:sectPr>
          <w:footerReference r:id="rId5" w:type="default"/>
          <w:footerReference r:id="rId6" w:type="even"/>
          <w:pgSz w:w="11910" w:h="16840"/>
          <w:pgMar w:top="1500" w:right="1480" w:bottom="1380" w:left="1660" w:header="0" w:footer="1191" w:gutter="0"/>
          <w:pgNumType w:start="1"/>
          <w:cols w:space="720" w:num="1"/>
        </w:sectPr>
      </w:pPr>
    </w:p>
    <w:p>
      <w:pPr>
        <w:pStyle w:val="4"/>
        <w:spacing w:before="38" w:line="304" w:lineRule="auto"/>
        <w:ind w:right="305"/>
        <w:jc w:val="both"/>
      </w:pPr>
      <w:r>
        <w:rPr>
          <w:spacing w:val="-20"/>
        </w:rPr>
        <w:t xml:space="preserve">年任务 </w:t>
      </w:r>
      <w:r>
        <w:t>316.67%。重点抓好金牌厨柜等重大项目签约落地。</w:t>
      </w:r>
      <w:r>
        <w:rPr>
          <w:spacing w:val="-3"/>
        </w:rPr>
        <w:t>主要做法：一是推进川闽、川赣合作取得新成效。疫情防控期间，通过微信、邮件等方式，“不见面”拜访对接企业超</w:t>
      </w:r>
      <w:r>
        <w:rPr>
          <w:spacing w:val="-41"/>
        </w:rPr>
        <w:t xml:space="preserve">过 </w:t>
      </w:r>
      <w:r>
        <w:t>500</w:t>
      </w:r>
      <w:r>
        <w:rPr>
          <w:spacing w:val="-11"/>
        </w:rPr>
        <w:t xml:space="preserve"> 家，储备意向项目近 </w:t>
      </w:r>
      <w:r>
        <w:t>50</w:t>
      </w:r>
      <w:r>
        <w:rPr>
          <w:spacing w:val="-11"/>
        </w:rPr>
        <w:t xml:space="preserve"> 个。邀请鹭燕集团等 </w:t>
      </w:r>
      <w:r>
        <w:t>8</w:t>
      </w:r>
      <w:r>
        <w:rPr>
          <w:spacing w:val="-24"/>
        </w:rPr>
        <w:t xml:space="preserve"> 家知</w:t>
      </w:r>
      <w:r>
        <w:rPr>
          <w:spacing w:val="-23"/>
        </w:rPr>
        <w:t>名企业参加四川医药健康产业创新发展网络推介会，协助宜</w:t>
      </w:r>
      <w:r>
        <w:rPr>
          <w:spacing w:val="-1"/>
        </w:rPr>
        <w:t xml:space="preserve">宾、内江等市举办各类网络投资推介会 </w:t>
      </w:r>
      <w:r>
        <w:t>10</w:t>
      </w:r>
      <w:r>
        <w:rPr>
          <w:spacing w:val="-7"/>
        </w:rPr>
        <w:t xml:space="preserve"> 余场，充分展示四川良好的医药健康产业发展条件和优质的政务服务环境。</w:t>
      </w:r>
      <w:r>
        <w:rPr>
          <w:spacing w:val="-13"/>
        </w:rPr>
        <w:t xml:space="preserve">绘制了《招商引资 </w:t>
      </w:r>
      <w:r>
        <w:t>100</w:t>
      </w:r>
      <w:r>
        <w:rPr>
          <w:spacing w:val="-10"/>
        </w:rPr>
        <w:t xml:space="preserve"> 大产业链全景图》，完善“三库一图</w:t>
      </w:r>
      <w:r>
        <w:rPr>
          <w:spacing w:val="-1"/>
        </w:rPr>
        <w:t>一表”编制。二是推动侨商赴川投资拓展新路径。</w:t>
      </w:r>
      <w:r>
        <w:t>8</w:t>
      </w:r>
      <w:r>
        <w:rPr>
          <w:spacing w:val="-19"/>
        </w:rPr>
        <w:t xml:space="preserve"> 月承办</w:t>
      </w:r>
      <w:r>
        <w:rPr>
          <w:spacing w:val="-14"/>
        </w:rPr>
        <w:t>“侨商协会会长交流会”，加拿大多伦多华人团体联合总会60</w:t>
      </w:r>
      <w:r>
        <w:rPr>
          <w:spacing w:val="-15"/>
        </w:rPr>
        <w:t xml:space="preserve"> 余位侨商代表参会。进一步助力四川外贸振兴、促进产业</w:t>
      </w:r>
      <w:r>
        <w:rPr>
          <w:spacing w:val="-10"/>
        </w:rPr>
        <w:t>项目合作交流。三是跟进服务投资企业实现新进展。协调天</w:t>
      </w:r>
      <w:r>
        <w:rPr>
          <w:spacing w:val="-6"/>
        </w:rPr>
        <w:t>府新区、青白江区、双流区等地的相关部门，解决了厦门企</w:t>
      </w:r>
      <w:r>
        <w:rPr>
          <w:spacing w:val="-7"/>
        </w:rPr>
        <w:t>业在川项目扩产审批等问题。四是精心服务项目合作斩获新</w:t>
      </w:r>
      <w:r>
        <w:rPr>
          <w:spacing w:val="-10"/>
        </w:rPr>
        <w:t xml:space="preserve">成果。围绕 </w:t>
      </w:r>
      <w:r>
        <w:t>2020</w:t>
      </w:r>
      <w:r>
        <w:rPr>
          <w:spacing w:val="-4"/>
        </w:rPr>
        <w:t xml:space="preserve"> 中外知名企业四川行系列活动，厦门办邀</w:t>
      </w:r>
      <w:r>
        <w:rPr>
          <w:spacing w:val="-12"/>
        </w:rPr>
        <w:t xml:space="preserve">请江西铜业等 </w:t>
      </w:r>
      <w:r>
        <w:t>36</w:t>
      </w:r>
      <w:r>
        <w:rPr>
          <w:spacing w:val="-34"/>
        </w:rPr>
        <w:t xml:space="preserve"> 家企业 </w:t>
      </w:r>
      <w:r>
        <w:t>56</w:t>
      </w:r>
      <w:r>
        <w:rPr>
          <w:spacing w:val="-11"/>
        </w:rPr>
        <w:t xml:space="preserve"> 位客商赴川参会考察，促进了一</w:t>
      </w:r>
      <w:r>
        <w:rPr>
          <w:spacing w:val="-10"/>
        </w:rPr>
        <w:t>批意向投资项目。五是支持四川商会建设务实新举措。全年</w:t>
      </w:r>
      <w:r>
        <w:rPr>
          <w:spacing w:val="-17"/>
        </w:rPr>
        <w:t xml:space="preserve">带领川商 </w:t>
      </w:r>
      <w:r>
        <w:t>79</w:t>
      </w:r>
      <w:r>
        <w:rPr>
          <w:spacing w:val="-20"/>
        </w:rPr>
        <w:t xml:space="preserve"> 人次，赴川考察 </w:t>
      </w:r>
      <w:r>
        <w:t>5</w:t>
      </w:r>
      <w:r>
        <w:rPr>
          <w:spacing w:val="-22"/>
        </w:rPr>
        <w:t xml:space="preserve"> 次，签约项目 </w:t>
      </w:r>
      <w:r>
        <w:t>8</w:t>
      </w:r>
      <w:r>
        <w:rPr>
          <w:spacing w:val="-28"/>
        </w:rPr>
        <w:t xml:space="preserve"> 个，资金 </w:t>
      </w:r>
      <w:r>
        <w:t>30 多亿元。</w:t>
      </w:r>
    </w:p>
    <w:p>
      <w:pPr>
        <w:pStyle w:val="3"/>
        <w:numPr>
          <w:ilvl w:val="0"/>
          <w:numId w:val="1"/>
        </w:numPr>
        <w:tabs>
          <w:tab w:val="left" w:pos="1103"/>
        </w:tabs>
        <w:spacing w:before="0" w:after="0" w:line="408" w:lineRule="exact"/>
        <w:ind w:left="1102" w:right="0" w:hanging="323"/>
        <w:jc w:val="left"/>
      </w:pPr>
      <w:r>
        <w:t>全力引领、高效服务，做好农民工各项工作</w:t>
      </w:r>
    </w:p>
    <w:p>
      <w:pPr>
        <w:pStyle w:val="4"/>
        <w:spacing w:before="100" w:line="304" w:lineRule="auto"/>
        <w:ind w:right="316" w:firstLine="640"/>
        <w:jc w:val="both"/>
      </w:pPr>
      <w:r>
        <w:rPr>
          <w:spacing w:val="-20"/>
          <w:w w:val="99"/>
        </w:rPr>
        <w:t>一是慰问走访暖心。精心组织“让爱出发</w:t>
      </w:r>
      <w:r>
        <w:rPr>
          <w:rFonts w:ascii="Arial" w:hAnsi="Arial" w:eastAsia="Arial"/>
          <w:spacing w:val="1"/>
          <w:w w:val="99"/>
        </w:rPr>
        <w:t>•</w:t>
      </w:r>
      <w:r>
        <w:rPr>
          <w:spacing w:val="-30"/>
          <w:w w:val="99"/>
        </w:rPr>
        <w:t>伴你回家”</w:t>
      </w:r>
      <w:r>
        <w:rPr>
          <w:spacing w:val="1"/>
          <w:w w:val="99"/>
        </w:rPr>
        <w:t>2</w:t>
      </w:r>
      <w:r>
        <w:rPr>
          <w:spacing w:val="-2"/>
          <w:w w:val="99"/>
        </w:rPr>
        <w:t>0</w:t>
      </w:r>
      <w:r>
        <w:rPr>
          <w:spacing w:val="1"/>
          <w:w w:val="99"/>
        </w:rPr>
        <w:t>2</w:t>
      </w:r>
      <w:r>
        <w:rPr>
          <w:w w:val="99"/>
        </w:rPr>
        <w:t>0</w:t>
      </w:r>
      <w:r>
        <w:rPr>
          <w:spacing w:val="-1"/>
        </w:rPr>
        <w:t>年川籍农民工春节专列大型公益活动，免费送农民工回家过</w:t>
      </w:r>
      <w:r>
        <w:rPr>
          <w:spacing w:val="1"/>
        </w:rPr>
        <w:t>春节；</w:t>
      </w:r>
      <w:r>
        <w:t>8</w:t>
      </w:r>
      <w:r>
        <w:rPr>
          <w:spacing w:val="-6"/>
        </w:rPr>
        <w:t xml:space="preserve"> 月，积极协调企业筹划为彝族农民工过上火把节， </w:t>
      </w:r>
      <w:r>
        <w:rPr>
          <w:spacing w:val="-7"/>
        </w:rPr>
        <w:t>以圆彝族同胞异地思乡之情。二是做好法律维权服务。全年</w:t>
      </w:r>
      <w:r>
        <w:t>累计接待川籍农民工咨询 219</w:t>
      </w:r>
      <w:r>
        <w:rPr>
          <w:spacing w:val="-7"/>
        </w:rPr>
        <w:t xml:space="preserve"> 次，维护川籍农民工权益 </w:t>
      </w:r>
      <w:r>
        <w:t>57</w:t>
      </w:r>
    </w:p>
    <w:p>
      <w:pPr>
        <w:pStyle w:val="4"/>
        <w:spacing w:line="406" w:lineRule="exact"/>
        <w:jc w:val="both"/>
      </w:pPr>
      <w:r>
        <w:rPr>
          <w:spacing w:val="-8"/>
        </w:rPr>
        <w:t xml:space="preserve">起，追讨索赔 </w:t>
      </w:r>
      <w:r>
        <w:t>533</w:t>
      </w:r>
      <w:r>
        <w:rPr>
          <w:spacing w:val="-9"/>
        </w:rPr>
        <w:t xml:space="preserve"> 万余元，协调处理射洪县 </w:t>
      </w:r>
      <w:r>
        <w:t>33</w:t>
      </w:r>
      <w:r>
        <w:rPr>
          <w:spacing w:val="-10"/>
        </w:rPr>
        <w:t xml:space="preserve"> 位农民工被</w:t>
      </w:r>
    </w:p>
    <w:p>
      <w:pPr>
        <w:spacing w:after="0" w:line="406" w:lineRule="exact"/>
        <w:jc w:val="both"/>
        <w:sectPr>
          <w:pgSz w:w="11910" w:h="16840"/>
          <w:pgMar w:top="1480" w:right="1480" w:bottom="1380" w:left="1660" w:header="0" w:footer="1191" w:gutter="0"/>
          <w:cols w:space="720" w:num="1"/>
        </w:sectPr>
      </w:pPr>
    </w:p>
    <w:p>
      <w:pPr>
        <w:pStyle w:val="4"/>
        <w:spacing w:before="38"/>
        <w:jc w:val="both"/>
      </w:pPr>
      <w:r>
        <w:rPr>
          <w:spacing w:val="-27"/>
        </w:rPr>
        <w:t xml:space="preserve">欠薪 </w:t>
      </w:r>
      <w:r>
        <w:t>41</w:t>
      </w:r>
      <w:r>
        <w:rPr>
          <w:spacing w:val="-4"/>
        </w:rPr>
        <w:t xml:space="preserve"> 万元，协调德阳籍在厦农民工在鼓浪屿消防高空作</w:t>
      </w:r>
    </w:p>
    <w:p>
      <w:pPr>
        <w:pStyle w:val="4"/>
        <w:spacing w:before="111"/>
        <w:jc w:val="both"/>
      </w:pPr>
      <w:r>
        <w:rPr>
          <w:spacing w:val="-7"/>
        </w:rPr>
        <w:t xml:space="preserve">业意外伤亡赔偿 </w:t>
      </w:r>
      <w:r>
        <w:t>73</w:t>
      </w:r>
      <w:r>
        <w:rPr>
          <w:spacing w:val="-4"/>
        </w:rPr>
        <w:t xml:space="preserve"> 万事故等，引导川籍农民运用法律武器</w:t>
      </w:r>
    </w:p>
    <w:p>
      <w:pPr>
        <w:pStyle w:val="4"/>
        <w:spacing w:before="110" w:line="304" w:lineRule="auto"/>
        <w:ind w:right="316"/>
        <w:jc w:val="both"/>
      </w:pPr>
      <w:r>
        <w:rPr>
          <w:spacing w:val="-7"/>
        </w:rPr>
        <w:t xml:space="preserve">向海沧区法院起诉，追讨欠薪 </w:t>
      </w:r>
      <w:r>
        <w:t>160</w:t>
      </w:r>
      <w:r>
        <w:rPr>
          <w:spacing w:val="-10"/>
        </w:rPr>
        <w:t xml:space="preserve"> 余万元。三是开展活动造</w:t>
      </w:r>
      <w:r>
        <w:rPr>
          <w:spacing w:val="-5"/>
        </w:rPr>
        <w:t>势。与省人社厅在厦门联合举办“川籍农民工返乡创业项目</w:t>
      </w:r>
      <w:r>
        <w:rPr>
          <w:spacing w:val="-16"/>
        </w:rPr>
        <w:t xml:space="preserve">说明会”，推出 </w:t>
      </w:r>
      <w:r>
        <w:t>130</w:t>
      </w:r>
      <w:r>
        <w:rPr>
          <w:spacing w:val="-10"/>
        </w:rPr>
        <w:t xml:space="preserve"> 个返乡入乡创业项目，福建、江西等地</w:t>
      </w:r>
      <w:r>
        <w:rPr>
          <w:spacing w:val="-12"/>
        </w:rPr>
        <w:t>近百名优秀川籍农民工参会。</w:t>
      </w:r>
      <w:r>
        <w:t>11</w:t>
      </w:r>
      <w:r>
        <w:rPr>
          <w:spacing w:val="-14"/>
        </w:rPr>
        <w:t xml:space="preserve"> 月，组织川籍农民工、企业</w:t>
      </w:r>
      <w:r>
        <w:rPr>
          <w:spacing w:val="-47"/>
        </w:rPr>
        <w:t xml:space="preserve">家 </w:t>
      </w:r>
      <w:r>
        <w:t>15</w:t>
      </w:r>
      <w:r>
        <w:rPr>
          <w:spacing w:val="-15"/>
        </w:rPr>
        <w:t xml:space="preserve"> 人参加“</w:t>
      </w:r>
      <w:r>
        <w:t>2020</w:t>
      </w:r>
      <w:r>
        <w:rPr>
          <w:spacing w:val="-6"/>
        </w:rPr>
        <w:t xml:space="preserve"> 年农民工暨企业家返乡入乡创业项目推</w:t>
      </w:r>
      <w:r>
        <w:rPr>
          <w:spacing w:val="-28"/>
        </w:rPr>
        <w:t>介及集中签约活动”，推动</w:t>
      </w:r>
      <w:r>
        <w:t>5</w:t>
      </w:r>
      <w:r>
        <w:rPr>
          <w:spacing w:val="-21"/>
        </w:rPr>
        <w:t xml:space="preserve"> 个项目返乡入乡投资，签约</w:t>
      </w:r>
      <w:r>
        <w:t xml:space="preserve">10.05 </w:t>
      </w:r>
      <w:r>
        <w:rPr>
          <w:spacing w:val="-4"/>
        </w:rPr>
        <w:t>亿元。同时，通过活动、商会平台等全年发放维护农民工合</w:t>
      </w:r>
      <w:r>
        <w:rPr>
          <w:spacing w:val="-8"/>
        </w:rPr>
        <w:t xml:space="preserve">法权益手册、农民工返乡创业政策宣传手册各 </w:t>
      </w:r>
      <w:r>
        <w:t>1800</w:t>
      </w:r>
      <w:r>
        <w:rPr>
          <w:spacing w:val="-21"/>
        </w:rPr>
        <w:t xml:space="preserve"> 多份。</w:t>
      </w:r>
    </w:p>
    <w:p>
      <w:pPr>
        <w:pStyle w:val="3"/>
        <w:numPr>
          <w:ilvl w:val="0"/>
          <w:numId w:val="1"/>
        </w:numPr>
        <w:tabs>
          <w:tab w:val="left" w:pos="1103"/>
        </w:tabs>
        <w:spacing w:before="0" w:after="0" w:line="404" w:lineRule="exact"/>
        <w:ind w:left="1102" w:right="0" w:hanging="323"/>
        <w:jc w:val="left"/>
      </w:pPr>
      <w:r>
        <w:t>稳彝族工人就业，协助打好脱贫攻坚战</w:t>
      </w:r>
    </w:p>
    <w:p>
      <w:pPr>
        <w:pStyle w:val="4"/>
        <w:spacing w:before="111" w:line="304" w:lineRule="auto"/>
        <w:ind w:right="159" w:firstLine="556" w:firstLineChars="200"/>
        <w:jc w:val="both"/>
      </w:pPr>
      <w:r>
        <w:rPr>
          <w:spacing w:val="-13"/>
          <w:w w:val="95"/>
        </w:rPr>
        <w:t>一是提供就业岗位。重点关注凉山州昭觉、越西、美姑、</w:t>
      </w:r>
      <w:r>
        <w:rPr>
          <w:spacing w:val="-18"/>
        </w:rPr>
        <w:t xml:space="preserve">金阳、布拖等 </w:t>
      </w:r>
      <w:r>
        <w:t>7</w:t>
      </w:r>
      <w:r>
        <w:rPr>
          <w:spacing w:val="-10"/>
        </w:rPr>
        <w:t xml:space="preserve"> 个未脱贫摘帽县的农民工，积极动员驻地企业和川</w:t>
      </w:r>
      <w:r>
        <w:rPr>
          <w:rFonts w:hint="eastAsia"/>
          <w:spacing w:val="-10"/>
          <w:lang w:val="en-US" w:eastAsia="zh-CN"/>
        </w:rPr>
        <w:t>商</w:t>
      </w:r>
      <w:r>
        <w:rPr>
          <w:spacing w:val="-10"/>
        </w:rPr>
        <w:t>协会提供就业岗位。二是关爱留守儿童，积极号召</w:t>
      </w:r>
      <w:r>
        <w:rPr>
          <w:spacing w:val="-1"/>
        </w:rPr>
        <w:t xml:space="preserve">福建省四川商会为凉山州美姑县捐赠 </w:t>
      </w:r>
      <w:r>
        <w:t>50</w:t>
      </w:r>
      <w:r>
        <w:rPr>
          <w:spacing w:val="-6"/>
        </w:rPr>
        <w:t xml:space="preserve"> 万元，用于购买校</w:t>
      </w:r>
      <w:r>
        <w:rPr>
          <w:spacing w:val="-16"/>
          <w:w w:val="95"/>
        </w:rPr>
        <w:t xml:space="preserve">服。三是注重解决实际困难。动员引导在闽川商、川籍人士， </w:t>
      </w:r>
      <w:r>
        <w:rPr>
          <w:spacing w:val="-2"/>
        </w:rPr>
        <w:t>开展</w:t>
      </w:r>
      <w:r>
        <w:rPr>
          <w:rFonts w:hint="eastAsia"/>
          <w:spacing w:val="-2"/>
          <w:lang w:eastAsia="zh-CN"/>
        </w:rPr>
        <w:t>“</w:t>
      </w:r>
      <w:r>
        <w:rPr>
          <w:spacing w:val="-2"/>
        </w:rPr>
        <w:t xml:space="preserve">以购代捐”活动，总计 </w:t>
      </w:r>
      <w:r>
        <w:t>15</w:t>
      </w:r>
      <w:r>
        <w:rPr>
          <w:spacing w:val="-3"/>
        </w:rPr>
        <w:t xml:space="preserve"> 万元，认购彝家地方特色</w:t>
      </w:r>
      <w:r>
        <w:rPr>
          <w:spacing w:val="-11"/>
        </w:rPr>
        <w:t xml:space="preserve">产品，购买美姑葡萄 </w:t>
      </w:r>
      <w:r>
        <w:t>300</w:t>
      </w:r>
      <w:r>
        <w:rPr>
          <w:spacing w:val="-10"/>
        </w:rPr>
        <w:t xml:space="preserve"> 多件，解决农民葡萄滞销，畅通特色产品出路。</w:t>
      </w:r>
    </w:p>
    <w:p>
      <w:pPr>
        <w:pStyle w:val="3"/>
        <w:numPr>
          <w:ilvl w:val="0"/>
          <w:numId w:val="1"/>
        </w:numPr>
        <w:tabs>
          <w:tab w:val="left" w:pos="1103"/>
        </w:tabs>
        <w:spacing w:before="2" w:after="0" w:line="240" w:lineRule="auto"/>
        <w:ind w:left="1102" w:right="0" w:hanging="323"/>
        <w:jc w:val="left"/>
      </w:pPr>
      <w:r>
        <w:t>主动对接厦门大学，全力促推省校项目合作</w:t>
      </w:r>
    </w:p>
    <w:p>
      <w:pPr>
        <w:pStyle w:val="4"/>
        <w:tabs>
          <w:tab w:val="left" w:pos="8580"/>
        </w:tabs>
        <w:spacing w:before="111" w:line="304" w:lineRule="auto"/>
        <w:ind w:right="158" w:firstLine="640"/>
        <w:jc w:val="both"/>
      </w:pPr>
      <w:r>
        <w:t>1</w:t>
      </w:r>
      <w:r>
        <w:rPr>
          <w:spacing w:val="-15"/>
        </w:rPr>
        <w:t>月份，积极促推厦门大学与四川省签署战略合作协议。</w:t>
      </w:r>
      <w:r>
        <w:rPr>
          <w:spacing w:val="-18"/>
        </w:rPr>
        <w:t>推动厦门大学“一带一路”研究院、南洋研究院、国际贸易、</w:t>
      </w:r>
      <w:r>
        <w:rPr>
          <w:rFonts w:hint="eastAsia"/>
          <w:spacing w:val="-18"/>
          <w:lang w:val="en-US" w:eastAsia="zh-CN"/>
        </w:rPr>
        <w:t>国</w:t>
      </w:r>
      <w:r>
        <w:rPr>
          <w:spacing w:val="-2"/>
        </w:rPr>
        <w:t>际金融等领域的学科优势</w:t>
      </w:r>
      <w:r>
        <w:rPr>
          <w:rFonts w:hint="eastAsia"/>
          <w:spacing w:val="-2"/>
          <w:lang w:eastAsia="zh-CN"/>
        </w:rPr>
        <w:t>，</w:t>
      </w:r>
      <w:r>
        <w:rPr>
          <w:spacing w:val="-2"/>
        </w:rPr>
        <w:t>参与四川省对外开放合作重大发展规划等，促进四川省加强南向通道合作建设。11</w:t>
      </w:r>
      <w:r>
        <w:rPr>
          <w:spacing w:val="-22"/>
        </w:rPr>
        <w:t xml:space="preserve"> 月份， </w:t>
      </w:r>
      <w:r>
        <w:rPr>
          <w:spacing w:val="-17"/>
        </w:rPr>
        <w:t>协助省委组织部拜访厦门大学，进一步推动“厦门大学四川</w:t>
      </w:r>
      <w:r>
        <w:rPr>
          <w:spacing w:val="-8"/>
        </w:rPr>
        <w:t>研究院”项目和人才建设等合作事项落地落实。为四川航空</w:t>
      </w:r>
      <w:r>
        <w:rPr>
          <w:w w:val="95"/>
        </w:rPr>
        <w:t>发动机、智能无人机、智能控制等注入新的发展动力，进一</w:t>
      </w:r>
      <w:r>
        <w:t>步激发产学研发展活力，提升区域综合竞争力。</w:t>
      </w:r>
    </w:p>
    <w:p>
      <w:pPr>
        <w:pStyle w:val="3"/>
        <w:numPr>
          <w:ilvl w:val="0"/>
          <w:numId w:val="1"/>
        </w:numPr>
        <w:tabs>
          <w:tab w:val="left" w:pos="1103"/>
        </w:tabs>
        <w:spacing w:before="0" w:after="0" w:line="240" w:lineRule="auto"/>
        <w:ind w:left="1102" w:right="0" w:hanging="323"/>
        <w:jc w:val="left"/>
      </w:pPr>
      <w:r>
        <w:t>拓宽信息采集渠道，搞好区域经济发展研究</w:t>
      </w:r>
    </w:p>
    <w:p>
      <w:pPr>
        <w:pStyle w:val="4"/>
        <w:spacing w:before="108" w:line="304" w:lineRule="auto"/>
        <w:ind w:right="317" w:firstLine="640"/>
        <w:jc w:val="both"/>
      </w:pPr>
      <w:r>
        <w:rPr>
          <w:spacing w:val="-2"/>
        </w:rPr>
        <w:t>围绕中心工作，加强信息工作、调查研究工作的组织领</w:t>
      </w:r>
      <w:r>
        <w:rPr>
          <w:spacing w:val="-3"/>
          <w:w w:val="95"/>
        </w:rPr>
        <w:t>导，积极联系中国</w:t>
      </w:r>
      <w:r>
        <w:rPr>
          <w:w w:val="95"/>
        </w:rPr>
        <w:t>（福建</w:t>
      </w:r>
      <w:r>
        <w:rPr>
          <w:spacing w:val="-3"/>
          <w:w w:val="95"/>
        </w:rPr>
        <w:t>）</w:t>
      </w:r>
      <w:r>
        <w:rPr>
          <w:spacing w:val="-1"/>
          <w:w w:val="95"/>
        </w:rPr>
        <w:t>自由贸易试验区的福州片区、厦</w:t>
      </w:r>
      <w:r>
        <w:rPr>
          <w:spacing w:val="-3"/>
        </w:rPr>
        <w:t>门片区和平潭片区，福州和厦门海关，不断拓宽信息调研工</w:t>
      </w:r>
      <w:r>
        <w:rPr>
          <w:spacing w:val="-5"/>
        </w:rPr>
        <w:t>作渠道，深度挖掘闽赣台、南亚、东南亚地区值得四川各地</w:t>
      </w:r>
      <w:r>
        <w:rPr>
          <w:spacing w:val="-6"/>
        </w:rPr>
        <w:t>借鉴的实践经验，围绕服务四川南向国际贸易陆海新通道建</w:t>
      </w:r>
      <w:r>
        <w:rPr>
          <w:spacing w:val="-4"/>
          <w:w w:val="95"/>
        </w:rPr>
        <w:t>设，形成了《福建县域经济发展的借鉴意义</w:t>
      </w:r>
      <w:r>
        <w:rPr>
          <w:rFonts w:hint="eastAsia"/>
          <w:spacing w:val="-4"/>
          <w:w w:val="95"/>
          <w:lang w:eastAsia="zh-CN"/>
        </w:rPr>
        <w:t>》</w:t>
      </w:r>
      <w:r>
        <w:rPr>
          <w:spacing w:val="-4"/>
          <w:w w:val="95"/>
        </w:rPr>
        <w:t>《浅析厦门</w:t>
      </w:r>
      <w:r>
        <w:rPr>
          <w:rFonts w:hint="eastAsia"/>
          <w:spacing w:val="-4"/>
          <w:w w:val="95"/>
          <w:lang w:val="en-US" w:eastAsia="zh-CN"/>
        </w:rPr>
        <w:t>市</w:t>
      </w:r>
      <w:r>
        <w:rPr>
          <w:spacing w:val="-4"/>
        </w:rPr>
        <w:t>政府产业引导基金对产业转型升级的意义》等调研报告。</w:t>
      </w:r>
    </w:p>
    <w:p>
      <w:pPr>
        <w:pStyle w:val="3"/>
        <w:numPr>
          <w:ilvl w:val="0"/>
          <w:numId w:val="1"/>
        </w:numPr>
        <w:tabs>
          <w:tab w:val="left" w:pos="1103"/>
        </w:tabs>
        <w:spacing w:before="0" w:after="0" w:line="406" w:lineRule="exact"/>
        <w:ind w:left="1102" w:right="0" w:hanging="323"/>
        <w:jc w:val="left"/>
      </w:pPr>
      <w:r>
        <w:t>坚持全面从严治党，不断提高党建工作水平</w:t>
      </w:r>
    </w:p>
    <w:p>
      <w:pPr>
        <w:pStyle w:val="4"/>
        <w:keepNext w:val="0"/>
        <w:keepLines w:val="0"/>
        <w:pageBreakBefore w:val="0"/>
        <w:widowControl w:val="0"/>
        <w:kinsoku/>
        <w:wordWrap/>
        <w:overflowPunct/>
        <w:topLinePunct w:val="0"/>
        <w:autoSpaceDE w:val="0"/>
        <w:autoSpaceDN w:val="0"/>
        <w:bidi w:val="0"/>
        <w:adjustRightInd/>
        <w:snapToGrid/>
        <w:spacing w:before="0" w:line="304" w:lineRule="auto"/>
        <w:ind w:right="159" w:firstLine="640"/>
        <w:jc w:val="both"/>
        <w:textAlignment w:val="auto"/>
      </w:pPr>
      <w:r>
        <w:rPr>
          <w:spacing w:val="-3"/>
        </w:rPr>
        <w:t>一是坚持抓“四好一强”班子建设的同时，结合“不忘初心、牢记使命”主题教育，在全办反复开展“聚焦投资促</w:t>
      </w:r>
      <w:r>
        <w:rPr>
          <w:spacing w:val="-4"/>
        </w:rPr>
        <w:t>进、农民工服务保障核心任务，服务四川开放新战略、争取</w:t>
      </w:r>
      <w:r>
        <w:rPr>
          <w:spacing w:val="-15"/>
          <w:w w:val="95"/>
        </w:rPr>
        <w:t xml:space="preserve">全办工作新成效”的学习讨论。二是坚持着力改进工作作风， </w:t>
      </w:r>
      <w:r>
        <w:rPr>
          <w:spacing w:val="-11"/>
        </w:rPr>
        <w:t>倡导“班子带头、党员带头”，在班子中大事讲原则、小事</w:t>
      </w:r>
      <w:r>
        <w:rPr>
          <w:spacing w:val="-6"/>
        </w:rPr>
        <w:t>讲风格，班子成员分别找干部职工谈心交心，干部职工之间</w:t>
      </w:r>
      <w:r>
        <w:rPr>
          <w:spacing w:val="-5"/>
        </w:rPr>
        <w:t>相互关心、信任和包容，形成了班子团结、干群和谐、作风</w:t>
      </w:r>
      <w:r>
        <w:rPr>
          <w:spacing w:val="-22"/>
        </w:rPr>
        <w:t>务实的良好局面。三是坚持着力开展学习提升素质，利用“学</w:t>
      </w:r>
      <w:r>
        <w:rPr>
          <w:spacing w:val="-21"/>
        </w:rPr>
        <w:t xml:space="preserve">习强”“党建 </w:t>
      </w:r>
      <w:r>
        <w:t>e</w:t>
      </w:r>
      <w:r>
        <w:rPr>
          <w:spacing w:val="-10"/>
        </w:rPr>
        <w:t xml:space="preserve"> 家”等网络平台，组织干部职工深入学习习近平新时代中国特色社会主义思想、党的十九大精神、习</w:t>
      </w:r>
      <w:r>
        <w:rPr>
          <w:spacing w:val="11"/>
        </w:rPr>
        <w:t>近平总书记系列讲话和四川省委十一届七次、八次全会精神，切实增强“四个意识”、坚定“四个自信”、做到“两</w:t>
      </w:r>
      <w:r>
        <w:t>个维护”，自觉在思想上政治上行动上同以习近平同志为核心的党中央保持高度一致。</w:t>
      </w:r>
    </w:p>
    <w:p>
      <w:pPr>
        <w:pStyle w:val="2"/>
        <w:numPr>
          <w:ilvl w:val="0"/>
          <w:numId w:val="2"/>
        </w:numPr>
        <w:spacing w:before="15"/>
        <w:ind w:left="387" w:right="0" w:firstLine="320" w:firstLineChars="100"/>
        <w:jc w:val="left"/>
        <w:rPr>
          <w:rFonts w:hint="eastAsia" w:ascii="黑体" w:hAnsi="仿宋" w:eastAsia="黑体" w:cs="仿宋"/>
          <w:sz w:val="32"/>
          <w:szCs w:val="32"/>
          <w:lang w:val="zh-CN" w:eastAsia="zh-CN" w:bidi="zh-CN"/>
        </w:rPr>
      </w:pPr>
      <w:r>
        <w:rPr>
          <w:rFonts w:hint="eastAsia" w:hAnsi="仿宋" w:cs="仿宋"/>
          <w:sz w:val="32"/>
          <w:szCs w:val="32"/>
          <w:lang w:val="en-US" w:eastAsia="zh-CN" w:bidi="zh-CN"/>
        </w:rPr>
        <w:t>机构设置</w:t>
      </w:r>
    </w:p>
    <w:p>
      <w:pPr>
        <w:pStyle w:val="2"/>
        <w:numPr>
          <w:ilvl w:val="0"/>
          <w:numId w:val="0"/>
        </w:numPr>
        <w:spacing w:before="15"/>
        <w:ind w:right="0" w:rightChars="0" w:firstLine="640" w:firstLineChars="200"/>
        <w:jc w:val="left"/>
        <w:rPr>
          <w:rFonts w:hint="eastAsia" w:ascii="黑体" w:hAnsi="仿宋" w:eastAsia="黑体" w:cs="仿宋"/>
          <w:sz w:val="32"/>
          <w:szCs w:val="32"/>
          <w:lang w:val="zh-CN" w:eastAsia="zh-CN" w:bidi="zh-CN"/>
        </w:rPr>
      </w:pPr>
      <w:r>
        <w:rPr>
          <w:rFonts w:hint="eastAsia" w:ascii="仿宋" w:hAnsi="仿宋" w:eastAsia="仿宋" w:cs="仿宋"/>
          <w:sz w:val="32"/>
          <w:szCs w:val="32"/>
          <w:lang w:val="en-US" w:eastAsia="zh-CN" w:bidi="zh-CN"/>
        </w:rPr>
        <w:t>四川省人民政府驻厦门办事处由5个处室组成：分别是秘书处、经济合作处、劳务工作处、综合信息处、福州联络处。</w:t>
      </w:r>
      <w:r>
        <w:rPr>
          <w:rFonts w:hint="eastAsia" w:ascii="仿宋" w:hAnsi="仿宋" w:eastAsia="仿宋" w:cs="仿宋"/>
          <w:sz w:val="32"/>
          <w:szCs w:val="32"/>
          <w:lang w:val="zh-CN" w:eastAsia="zh-CN" w:bidi="zh-CN"/>
        </w:rPr>
        <w:t xml:space="preserve"> </w:t>
      </w:r>
      <w:bookmarkStart w:id="3" w:name="_TOC_250003"/>
      <w:bookmarkEnd w:id="3"/>
    </w:p>
    <w:p>
      <w:pPr>
        <w:rPr>
          <w:rFonts w:hint="default"/>
          <w:lang w:val="en-US" w:eastAsia="zh-CN"/>
        </w:rPr>
      </w:pPr>
    </w:p>
    <w:p>
      <w:pPr>
        <w:pStyle w:val="2"/>
        <w:spacing w:before="15"/>
        <w:ind w:left="387" w:right="0"/>
        <w:jc w:val="center"/>
      </w:pPr>
      <w:r>
        <w:t>第二部分 2020 年度单位决算情况说明</w:t>
      </w:r>
    </w:p>
    <w:p>
      <w:pPr>
        <w:pStyle w:val="4"/>
        <w:ind w:left="0"/>
        <w:rPr>
          <w:rFonts w:ascii="黑体"/>
          <w:sz w:val="44"/>
        </w:rPr>
      </w:pPr>
    </w:p>
    <w:p>
      <w:pPr>
        <w:pStyle w:val="4"/>
        <w:spacing w:before="332"/>
        <w:ind w:left="780"/>
        <w:rPr>
          <w:rFonts w:hint="eastAsia" w:ascii="黑体" w:eastAsia="黑体"/>
        </w:rPr>
      </w:pPr>
      <w:r>
        <w:rPr>
          <w:rFonts w:hint="eastAsia" w:ascii="黑体" w:eastAsia="黑体"/>
        </w:rPr>
        <w:t>一</w:t>
      </w:r>
      <w:r>
        <w:rPr>
          <w:rFonts w:hint="eastAsia" w:ascii="黑体" w:eastAsia="黑体"/>
          <w:lang w:eastAsia="zh-CN"/>
        </w:rPr>
        <w:t>、</w:t>
      </w:r>
      <w:r>
        <w:rPr>
          <w:rFonts w:hint="eastAsia" w:ascii="黑体" w:eastAsia="黑体"/>
        </w:rPr>
        <w:t>收入支出决算总体情况说明</w:t>
      </w:r>
    </w:p>
    <w:p>
      <w:pPr>
        <w:pStyle w:val="4"/>
        <w:spacing w:before="190"/>
        <w:ind w:left="780"/>
      </w:pPr>
      <w:bookmarkStart w:id="4" w:name="2020年度收、支总计713.5万元。与2019年相比收、支总计减少了6.86万"/>
      <w:bookmarkEnd w:id="4"/>
      <w:r>
        <w:t>2020</w:t>
      </w:r>
      <w:r>
        <w:rPr>
          <w:spacing w:val="-16"/>
        </w:rPr>
        <w:t xml:space="preserve"> 年度收、支总计 </w:t>
      </w:r>
      <w:r>
        <w:t>713.5</w:t>
      </w:r>
      <w:r>
        <w:rPr>
          <w:spacing w:val="-25"/>
        </w:rPr>
        <w:t xml:space="preserve"> 万元。与 </w:t>
      </w:r>
      <w:r>
        <w:t>2019</w:t>
      </w:r>
      <w:r>
        <w:rPr>
          <w:spacing w:val="-11"/>
        </w:rPr>
        <w:t xml:space="preserve"> 年相比收、</w:t>
      </w:r>
    </w:p>
    <w:p>
      <w:pPr>
        <w:pStyle w:val="4"/>
        <w:spacing w:before="190" w:line="350" w:lineRule="auto"/>
        <w:ind w:right="318"/>
      </w:pPr>
      <w:r>
        <w:rPr>
          <w:spacing w:val="-13"/>
        </w:rPr>
        <w:t xml:space="preserve">支总计减少了 </w:t>
      </w:r>
      <w:r>
        <w:t>6.86</w:t>
      </w:r>
      <w:r>
        <w:rPr>
          <w:spacing w:val="-38"/>
        </w:rPr>
        <w:t xml:space="preserve"> 万元，下降 </w:t>
      </w:r>
      <w:r>
        <w:t>0.95</w:t>
      </w:r>
      <w:r>
        <w:rPr>
          <w:spacing w:val="-20"/>
        </w:rPr>
        <w:t xml:space="preserve">%。主要变动原因是 </w:t>
      </w:r>
      <w:r>
        <w:t>2020 年因公出国（境）经费无收入。</w:t>
      </w:r>
    </w:p>
    <w:p>
      <w:pPr>
        <w:pStyle w:val="4"/>
        <w:spacing w:before="3"/>
        <w:ind w:left="780"/>
      </w:pPr>
      <w:r>
        <w:t>（图 1：收、支决算总计变动情况图）</w:t>
      </w:r>
    </w:p>
    <w:p>
      <w:pPr>
        <w:pStyle w:val="4"/>
        <w:spacing w:before="7"/>
        <w:ind w:left="0"/>
        <w:rPr>
          <w:sz w:val="28"/>
        </w:rPr>
      </w:pPr>
      <w:r>
        <w:drawing>
          <wp:anchor distT="0" distB="0" distL="0" distR="0" simplePos="0" relativeHeight="251659264" behindDoc="0" locked="0" layoutInCell="1" allowOverlap="1">
            <wp:simplePos x="0" y="0"/>
            <wp:positionH relativeFrom="page">
              <wp:posOffset>1343025</wp:posOffset>
            </wp:positionH>
            <wp:positionV relativeFrom="paragraph">
              <wp:posOffset>256540</wp:posOffset>
            </wp:positionV>
            <wp:extent cx="5143500" cy="31940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0" cstate="print"/>
                    <a:stretch>
                      <a:fillRect/>
                    </a:stretch>
                  </pic:blipFill>
                  <pic:spPr>
                    <a:xfrm>
                      <a:off x="0" y="0"/>
                      <a:ext cx="5143224" cy="3194304"/>
                    </a:xfrm>
                    <a:prstGeom prst="rect">
                      <a:avLst/>
                    </a:prstGeom>
                  </pic:spPr>
                </pic:pic>
              </a:graphicData>
            </a:graphic>
          </wp:anchor>
        </w:drawing>
      </w:r>
    </w:p>
    <w:p>
      <w:pPr>
        <w:pStyle w:val="4"/>
        <w:spacing w:before="164"/>
        <w:ind w:left="780"/>
        <w:rPr>
          <w:rFonts w:hint="eastAsia" w:ascii="黑体" w:eastAsia="黑体"/>
        </w:rPr>
      </w:pPr>
      <w:r>
        <w:rPr>
          <w:rFonts w:hint="eastAsia" w:ascii="黑体" w:eastAsia="黑体"/>
        </w:rPr>
        <w:t>二、收入决算情况说明</w:t>
      </w:r>
    </w:p>
    <w:p>
      <w:pPr>
        <w:pStyle w:val="4"/>
        <w:spacing w:before="190" w:line="350" w:lineRule="auto"/>
        <w:ind w:right="317" w:firstLine="640"/>
        <w:jc w:val="both"/>
      </w:pPr>
      <w:bookmarkStart w:id="5" w:name="2020年本年收入合计697.65万元，其中：一般公共预算财政拨款收入697.6"/>
      <w:bookmarkEnd w:id="5"/>
      <w:r>
        <w:t>2020</w:t>
      </w:r>
      <w:r>
        <w:rPr>
          <w:spacing w:val="-18"/>
        </w:rPr>
        <w:t xml:space="preserve"> 年本年收入合计 </w:t>
      </w:r>
      <w:r>
        <w:t>697.65</w:t>
      </w:r>
      <w:r>
        <w:rPr>
          <w:spacing w:val="-5"/>
        </w:rPr>
        <w:t xml:space="preserve"> 万元，其中：一般公共预</w:t>
      </w:r>
      <w:r>
        <w:rPr>
          <w:spacing w:val="-9"/>
        </w:rPr>
        <w:t xml:space="preserve">算财政拨款收入 </w:t>
      </w:r>
      <w:r>
        <w:t>697.65</w:t>
      </w:r>
      <w:r>
        <w:rPr>
          <w:spacing w:val="-27"/>
        </w:rPr>
        <w:t xml:space="preserve"> 万元，占 </w:t>
      </w:r>
      <w:r>
        <w:t>100%；政府性基金预算财</w:t>
      </w:r>
      <w:r>
        <w:rPr>
          <w:spacing w:val="-10"/>
        </w:rPr>
        <w:t xml:space="preserve">政拨款收入 </w:t>
      </w:r>
      <w:r>
        <w:t>0</w:t>
      </w:r>
      <w:r>
        <w:rPr>
          <w:spacing w:val="-23"/>
        </w:rPr>
        <w:t xml:space="preserve"> 万元，占 </w:t>
      </w:r>
      <w:r>
        <w:rPr>
          <w:spacing w:val="4"/>
        </w:rPr>
        <w:t>0</w:t>
      </w:r>
      <w:r>
        <w:rPr>
          <w:spacing w:val="-6"/>
        </w:rPr>
        <w:t xml:space="preserve">%；上级补助收入 </w:t>
      </w:r>
      <w:r>
        <w:t>0</w:t>
      </w:r>
      <w:r>
        <w:rPr>
          <w:spacing w:val="-24"/>
        </w:rPr>
        <w:t xml:space="preserve"> 万元，占 </w:t>
      </w:r>
      <w:r>
        <w:rPr>
          <w:spacing w:val="2"/>
        </w:rPr>
        <w:t xml:space="preserve">0%； </w:t>
      </w:r>
      <w:r>
        <w:rPr>
          <w:spacing w:val="-12"/>
        </w:rPr>
        <w:t xml:space="preserve">事业收入 </w:t>
      </w:r>
      <w:r>
        <w:t>0</w:t>
      </w:r>
      <w:r>
        <w:rPr>
          <w:spacing w:val="-23"/>
        </w:rPr>
        <w:t xml:space="preserve"> 万元，占 </w:t>
      </w:r>
      <w:r>
        <w:rPr>
          <w:spacing w:val="4"/>
        </w:rPr>
        <w:t>0</w:t>
      </w:r>
      <w:r>
        <w:rPr>
          <w:spacing w:val="-8"/>
        </w:rPr>
        <w:t xml:space="preserve">%；经营收入 </w:t>
      </w:r>
      <w:r>
        <w:t>0</w:t>
      </w:r>
      <w:r>
        <w:rPr>
          <w:spacing w:val="-23"/>
        </w:rPr>
        <w:t xml:space="preserve"> 万元，占 </w:t>
      </w:r>
      <w:r>
        <w:rPr>
          <w:spacing w:val="4"/>
        </w:rPr>
        <w:t>0%；附属单</w:t>
      </w:r>
      <w:r>
        <w:rPr>
          <w:spacing w:val="-10"/>
        </w:rPr>
        <w:t xml:space="preserve">位上缴收入 </w:t>
      </w:r>
      <w:r>
        <w:t>0</w:t>
      </w:r>
      <w:r>
        <w:rPr>
          <w:spacing w:val="-28"/>
        </w:rPr>
        <w:t xml:space="preserve"> 万元，占 </w:t>
      </w:r>
      <w:r>
        <w:t>0</w:t>
      </w:r>
      <w:r>
        <w:rPr>
          <w:spacing w:val="-12"/>
        </w:rPr>
        <w:t xml:space="preserve">%；其他收入 </w:t>
      </w:r>
      <w:r>
        <w:t>0</w:t>
      </w:r>
      <w:r>
        <w:rPr>
          <w:spacing w:val="-28"/>
        </w:rPr>
        <w:t xml:space="preserve"> 万元，占 </w:t>
      </w:r>
      <w:r>
        <w:t>0%。</w:t>
      </w:r>
    </w:p>
    <w:p>
      <w:pPr>
        <w:spacing w:after="0" w:line="350" w:lineRule="auto"/>
        <w:jc w:val="both"/>
        <w:sectPr>
          <w:pgSz w:w="11910" w:h="16840"/>
          <w:pgMar w:top="1500" w:right="1450" w:bottom="1380" w:left="1660" w:header="0" w:footer="1191" w:gutter="0"/>
          <w:cols w:space="720" w:num="1"/>
        </w:sectPr>
      </w:pPr>
    </w:p>
    <w:p>
      <w:pPr>
        <w:pStyle w:val="4"/>
        <w:spacing w:before="43"/>
        <w:ind w:left="780"/>
      </w:pPr>
      <w:r>
        <w:t>（图 2：收入决算结构图）（饼状图）</w:t>
      </w:r>
    </w:p>
    <w:p>
      <w:pPr>
        <w:pStyle w:val="4"/>
        <w:spacing w:before="10"/>
        <w:ind w:left="0"/>
        <w:rPr>
          <w:sz w:val="11"/>
        </w:rPr>
      </w:pPr>
      <w:r>
        <w:drawing>
          <wp:anchor distT="0" distB="0" distL="0" distR="0" simplePos="0" relativeHeight="251660288" behindDoc="0" locked="0" layoutInCell="1" allowOverlap="1">
            <wp:simplePos x="0" y="0"/>
            <wp:positionH relativeFrom="page">
              <wp:posOffset>1123315</wp:posOffset>
            </wp:positionH>
            <wp:positionV relativeFrom="paragraph">
              <wp:posOffset>120650</wp:posOffset>
            </wp:positionV>
            <wp:extent cx="5387975" cy="287718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1" cstate="print"/>
                    <a:stretch>
                      <a:fillRect/>
                    </a:stretch>
                  </pic:blipFill>
                  <pic:spPr>
                    <a:xfrm>
                      <a:off x="0" y="0"/>
                      <a:ext cx="5387982" cy="2877312"/>
                    </a:xfrm>
                    <a:prstGeom prst="rect">
                      <a:avLst/>
                    </a:prstGeom>
                  </pic:spPr>
                </pic:pic>
              </a:graphicData>
            </a:graphic>
          </wp:anchor>
        </w:drawing>
      </w:r>
    </w:p>
    <w:p>
      <w:pPr>
        <w:pStyle w:val="4"/>
        <w:spacing w:before="159"/>
        <w:ind w:left="780"/>
        <w:rPr>
          <w:rFonts w:hint="eastAsia" w:ascii="黑体" w:eastAsia="黑体"/>
        </w:rPr>
      </w:pPr>
      <w:r>
        <w:rPr>
          <w:rFonts w:hint="eastAsia" w:ascii="黑体" w:eastAsia="黑体"/>
        </w:rPr>
        <w:t>三、支出决算情况说明</w:t>
      </w:r>
    </w:p>
    <w:p>
      <w:pPr>
        <w:pStyle w:val="4"/>
        <w:spacing w:before="267"/>
        <w:ind w:left="780"/>
      </w:pPr>
      <w:bookmarkStart w:id="6" w:name="2020年本年支出合计563.54万元，其中：基本支出489.19万元，占86."/>
      <w:bookmarkEnd w:id="6"/>
      <w:r>
        <w:t>2020 年本年支出合计 563.54 万元，其中：基本支出</w:t>
      </w:r>
    </w:p>
    <w:p>
      <w:pPr>
        <w:pStyle w:val="4"/>
        <w:spacing w:before="190" w:line="350" w:lineRule="auto"/>
        <w:ind w:right="158"/>
      </w:pPr>
      <w:r>
        <w:t>489.19</w:t>
      </w:r>
      <w:r>
        <w:rPr>
          <w:spacing w:val="-34"/>
        </w:rPr>
        <w:t xml:space="preserve"> 万元，占 </w:t>
      </w:r>
      <w:r>
        <w:rPr>
          <w:spacing w:val="-5"/>
        </w:rPr>
        <w:t>86.81</w:t>
      </w:r>
      <w:r>
        <w:rPr>
          <w:spacing w:val="-15"/>
        </w:rPr>
        <w:t xml:space="preserve">%；项目支出 </w:t>
      </w:r>
      <w:r>
        <w:t>74.35</w:t>
      </w:r>
      <w:r>
        <w:rPr>
          <w:spacing w:val="-34"/>
        </w:rPr>
        <w:t xml:space="preserve"> 万元，占 </w:t>
      </w:r>
      <w:r>
        <w:t xml:space="preserve">13.19%； </w:t>
      </w:r>
      <w:r>
        <w:rPr>
          <w:spacing w:val="-7"/>
        </w:rPr>
        <w:t xml:space="preserve">上缴上级支出 </w:t>
      </w:r>
      <w:r>
        <w:t>0</w:t>
      </w:r>
      <w:r>
        <w:rPr>
          <w:spacing w:val="-23"/>
        </w:rPr>
        <w:t xml:space="preserve"> 万元，占 </w:t>
      </w:r>
      <w:r>
        <w:rPr>
          <w:spacing w:val="5"/>
        </w:rPr>
        <w:t>0</w:t>
      </w:r>
      <w:r>
        <w:rPr>
          <w:spacing w:val="-8"/>
        </w:rPr>
        <w:t xml:space="preserve">%；经营支出 </w:t>
      </w:r>
      <w:r>
        <w:t>0</w:t>
      </w:r>
      <w:r>
        <w:rPr>
          <w:spacing w:val="-23"/>
        </w:rPr>
        <w:t xml:space="preserve"> 万元，占 </w:t>
      </w:r>
      <w:r>
        <w:rPr>
          <w:spacing w:val="4"/>
        </w:rPr>
        <w:t>0</w:t>
      </w:r>
      <w:r>
        <w:rPr>
          <w:spacing w:val="2"/>
        </w:rPr>
        <w:t>%；对</w:t>
      </w:r>
      <w:r>
        <w:rPr>
          <w:spacing w:val="-8"/>
        </w:rPr>
        <w:t xml:space="preserve">附属单位补助支出 </w:t>
      </w:r>
      <w:r>
        <w:t>0</w:t>
      </w:r>
      <w:r>
        <w:rPr>
          <w:spacing w:val="-28"/>
        </w:rPr>
        <w:t xml:space="preserve"> 万元，占 </w:t>
      </w:r>
      <w:r>
        <w:t>0%。</w:t>
      </w:r>
    </w:p>
    <w:p>
      <w:pPr>
        <w:pStyle w:val="4"/>
        <w:spacing w:before="4"/>
        <w:ind w:left="780"/>
      </w:pPr>
      <w:r>
        <w:drawing>
          <wp:anchor distT="0" distB="0" distL="0" distR="0" simplePos="0" relativeHeight="251660288" behindDoc="0" locked="0" layoutInCell="1" allowOverlap="1">
            <wp:simplePos x="0" y="0"/>
            <wp:positionH relativeFrom="page">
              <wp:posOffset>1393190</wp:posOffset>
            </wp:positionH>
            <wp:positionV relativeFrom="paragraph">
              <wp:posOffset>324485</wp:posOffset>
            </wp:positionV>
            <wp:extent cx="4970780" cy="290195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2" cstate="print"/>
                    <a:stretch>
                      <a:fillRect/>
                    </a:stretch>
                  </pic:blipFill>
                  <pic:spPr>
                    <a:xfrm>
                      <a:off x="0" y="0"/>
                      <a:ext cx="4970604" cy="2901696"/>
                    </a:xfrm>
                    <a:prstGeom prst="rect">
                      <a:avLst/>
                    </a:prstGeom>
                  </pic:spPr>
                </pic:pic>
              </a:graphicData>
            </a:graphic>
          </wp:anchor>
        </w:drawing>
      </w:r>
      <w:r>
        <w:t>（图 3：支出决算结构图）（饼状图）</w:t>
      </w:r>
    </w:p>
    <w:p>
      <w:pPr>
        <w:spacing w:after="0"/>
        <w:sectPr>
          <w:pgSz w:w="11910" w:h="16840"/>
          <w:pgMar w:top="1540" w:right="1480" w:bottom="1380" w:left="1660" w:header="0" w:footer="1191" w:gutter="0"/>
          <w:cols w:space="720" w:num="1"/>
        </w:sectPr>
      </w:pPr>
    </w:p>
    <w:p>
      <w:pPr>
        <w:pStyle w:val="4"/>
        <w:spacing w:before="43"/>
        <w:ind w:left="780"/>
        <w:rPr>
          <w:rFonts w:hint="eastAsia" w:ascii="黑体" w:eastAsia="黑体"/>
        </w:rPr>
      </w:pPr>
      <w:bookmarkStart w:id="7" w:name="四、财政拨款收入支出决算总体情况说明"/>
      <w:bookmarkEnd w:id="7"/>
      <w:r>
        <w:rPr>
          <w:rFonts w:hint="eastAsia" w:ascii="黑体" w:eastAsia="黑体"/>
        </w:rPr>
        <w:t>四、财政拨款收入支出决算总体情况说明</w:t>
      </w:r>
    </w:p>
    <w:p>
      <w:pPr>
        <w:pStyle w:val="4"/>
        <w:spacing w:before="190" w:line="350" w:lineRule="auto"/>
        <w:ind w:right="320" w:firstLine="640"/>
        <w:jc w:val="both"/>
      </w:pPr>
      <w:r>
        <w:t>2020</w:t>
      </w:r>
      <w:r>
        <w:rPr>
          <w:spacing w:val="-20"/>
        </w:rPr>
        <w:t xml:space="preserve"> 年财政拨款收、支总计 </w:t>
      </w:r>
      <w:r>
        <w:t>697.65</w:t>
      </w:r>
      <w:r>
        <w:rPr>
          <w:spacing w:val="-37"/>
        </w:rPr>
        <w:t xml:space="preserve"> 万元。与 </w:t>
      </w:r>
      <w:r>
        <w:t>2019</w:t>
      </w:r>
      <w:r>
        <w:rPr>
          <w:spacing w:val="-28"/>
        </w:rPr>
        <w:t xml:space="preserve"> 年相</w:t>
      </w:r>
      <w:r>
        <w:rPr>
          <w:spacing w:val="-8"/>
        </w:rPr>
        <w:t xml:space="preserve">比收、支总计增加了 </w:t>
      </w:r>
      <w:r>
        <w:t>17.99</w:t>
      </w:r>
      <w:r>
        <w:rPr>
          <w:spacing w:val="-23"/>
        </w:rPr>
        <w:t xml:space="preserve"> 万元，增长 </w:t>
      </w:r>
      <w:r>
        <w:t>2.65%。主要变动原因是增加办公用房维修事项。</w:t>
      </w:r>
    </w:p>
    <w:p>
      <w:pPr>
        <w:pStyle w:val="4"/>
        <w:spacing w:before="4"/>
        <w:ind w:left="780"/>
        <w:jc w:val="both"/>
      </w:pPr>
      <w:r>
        <w:t>（</w:t>
      </w:r>
      <w:r>
        <w:rPr>
          <w:spacing w:val="-42"/>
        </w:rPr>
        <w:t xml:space="preserve">图 </w:t>
      </w:r>
      <w:r>
        <w:rPr>
          <w:spacing w:val="-12"/>
        </w:rPr>
        <w:t>4</w:t>
      </w:r>
      <w:r>
        <w:rPr>
          <w:spacing w:val="-6"/>
        </w:rPr>
        <w:t>：财政拨款收、支决算总计变动情况</w:t>
      </w:r>
      <w:r>
        <w:rPr>
          <w:spacing w:val="-23"/>
        </w:rPr>
        <w:t>）（</w:t>
      </w:r>
      <w:r>
        <w:t>柱状图）</w:t>
      </w:r>
    </w:p>
    <w:p>
      <w:pPr>
        <w:pStyle w:val="4"/>
        <w:spacing w:before="5"/>
        <w:ind w:left="0"/>
        <w:rPr>
          <w:sz w:val="24"/>
        </w:rPr>
      </w:pPr>
      <w:r>
        <w:drawing>
          <wp:anchor distT="0" distB="0" distL="0" distR="0" simplePos="0" relativeHeight="251660288" behindDoc="0" locked="0" layoutInCell="1" allowOverlap="1">
            <wp:simplePos x="0" y="0"/>
            <wp:positionH relativeFrom="page">
              <wp:posOffset>1185545</wp:posOffset>
            </wp:positionH>
            <wp:positionV relativeFrom="paragraph">
              <wp:posOffset>222885</wp:posOffset>
            </wp:positionV>
            <wp:extent cx="5167630" cy="319405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3" cstate="print"/>
                    <a:stretch>
                      <a:fillRect/>
                    </a:stretch>
                  </pic:blipFill>
                  <pic:spPr>
                    <a:xfrm>
                      <a:off x="0" y="0"/>
                      <a:ext cx="5167600" cy="3194304"/>
                    </a:xfrm>
                    <a:prstGeom prst="rect">
                      <a:avLst/>
                    </a:prstGeom>
                  </pic:spPr>
                </pic:pic>
              </a:graphicData>
            </a:graphic>
          </wp:anchor>
        </w:drawing>
      </w:r>
    </w:p>
    <w:p>
      <w:pPr>
        <w:pStyle w:val="4"/>
        <w:spacing w:before="203"/>
        <w:ind w:left="780"/>
        <w:rPr>
          <w:rFonts w:hint="eastAsia" w:ascii="黑体" w:eastAsia="黑体"/>
        </w:rPr>
      </w:pPr>
      <w:bookmarkStart w:id="8" w:name="五、一般公共预算财政拨款支出决算情况说明"/>
      <w:bookmarkEnd w:id="8"/>
      <w:r>
        <w:rPr>
          <w:rFonts w:hint="eastAsia" w:ascii="黑体" w:eastAsia="黑体"/>
        </w:rPr>
        <w:t>五、</w:t>
      </w:r>
      <w:r>
        <w:rPr>
          <w:rFonts w:hint="eastAsia" w:ascii="黑体" w:eastAsia="黑体"/>
          <w:b/>
        </w:rPr>
        <w:t>一</w:t>
      </w:r>
      <w:r>
        <w:rPr>
          <w:rFonts w:hint="eastAsia" w:ascii="黑体" w:eastAsia="黑体"/>
        </w:rPr>
        <w:t>般公共预算财政拨款支出决算情况说明</w:t>
      </w:r>
    </w:p>
    <w:p>
      <w:pPr>
        <w:pStyle w:val="3"/>
        <w:spacing w:before="190"/>
        <w:ind w:firstLine="0"/>
      </w:pPr>
      <w:bookmarkStart w:id="9" w:name="（一）一般公共预算财政拨款支出决算总体情况"/>
      <w:bookmarkEnd w:id="9"/>
      <w:r>
        <w:t>（一）一般公共预算财政拨款支出决算总体情况</w:t>
      </w:r>
    </w:p>
    <w:p>
      <w:pPr>
        <w:pStyle w:val="4"/>
        <w:spacing w:before="190" w:line="350" w:lineRule="auto"/>
        <w:ind w:right="159" w:firstLine="640"/>
      </w:pPr>
      <w:r>
        <w:t>2020</w:t>
      </w:r>
      <w:r>
        <w:rPr>
          <w:spacing w:val="-10"/>
        </w:rPr>
        <w:t xml:space="preserve"> 年一般公共预算财政拨款支出 </w:t>
      </w:r>
      <w:r>
        <w:t>547.69</w:t>
      </w:r>
      <w:r>
        <w:rPr>
          <w:spacing w:val="-12"/>
        </w:rPr>
        <w:t xml:space="preserve"> 万元，占本</w:t>
      </w:r>
      <w:r>
        <w:rPr>
          <w:spacing w:val="-11"/>
        </w:rPr>
        <w:t xml:space="preserve">年支出合计的 </w:t>
      </w:r>
      <w:r>
        <w:t>97.19</w:t>
      </w:r>
      <w:r>
        <w:rPr>
          <w:spacing w:val="-19"/>
        </w:rPr>
        <w:t xml:space="preserve">%。与 </w:t>
      </w:r>
      <w:r>
        <w:t>2019</w:t>
      </w:r>
      <w:r>
        <w:rPr>
          <w:spacing w:val="-7"/>
        </w:rPr>
        <w:t xml:space="preserve"> 年相比，一般公共预算财政</w:t>
      </w:r>
      <w:r>
        <w:rPr>
          <w:spacing w:val="-11"/>
        </w:rPr>
        <w:t xml:space="preserve">拨款支出减少 </w:t>
      </w:r>
      <w:r>
        <w:t>53.15</w:t>
      </w:r>
      <w:r>
        <w:rPr>
          <w:spacing w:val="-23"/>
        </w:rPr>
        <w:t xml:space="preserve"> 万元，下降 </w:t>
      </w:r>
      <w:r>
        <w:t>8.85%。主要变动原因是受</w:t>
      </w:r>
      <w:r>
        <w:rPr>
          <w:spacing w:val="-15"/>
          <w:w w:val="95"/>
        </w:rPr>
        <w:t xml:space="preserve">疫情影响，年初安排的相关会议、培训，取消或是缩小规模， </w:t>
      </w:r>
      <w:r>
        <w:rPr>
          <w:spacing w:val="-19"/>
        </w:rPr>
        <w:t xml:space="preserve">因疫情防控需要，因公出差减少，故 </w:t>
      </w:r>
      <w:r>
        <w:t>2020</w:t>
      </w:r>
      <w:r>
        <w:rPr>
          <w:spacing w:val="-25"/>
        </w:rPr>
        <w:t xml:space="preserve"> 年度支出较 </w:t>
      </w:r>
      <w:r>
        <w:t>2019 年减少。</w:t>
      </w:r>
    </w:p>
    <w:p>
      <w:pPr>
        <w:pStyle w:val="4"/>
        <w:spacing w:before="8"/>
        <w:ind w:left="716"/>
      </w:pPr>
      <w:r>
        <w:rPr>
          <w:w w:val="90"/>
        </w:rPr>
        <w:t>（</w:t>
      </w:r>
      <w:r>
        <w:rPr>
          <w:spacing w:val="-41"/>
          <w:w w:val="90"/>
        </w:rPr>
        <w:t xml:space="preserve">图 </w:t>
      </w:r>
      <w:r>
        <w:rPr>
          <w:spacing w:val="-18"/>
          <w:w w:val="90"/>
        </w:rPr>
        <w:t>5</w:t>
      </w:r>
      <w:r>
        <w:rPr>
          <w:spacing w:val="-4"/>
          <w:w w:val="90"/>
        </w:rPr>
        <w:t>：一般公共预算财政拨款支出决算变动情况</w:t>
      </w:r>
      <w:r>
        <w:rPr>
          <w:spacing w:val="-36"/>
          <w:w w:val="90"/>
        </w:rPr>
        <w:t>）（</w:t>
      </w:r>
      <w:r>
        <w:rPr>
          <w:w w:val="90"/>
        </w:rPr>
        <w:t>柱状图）</w:t>
      </w:r>
    </w:p>
    <w:p>
      <w:pPr>
        <w:spacing w:after="0"/>
        <w:sectPr>
          <w:pgSz w:w="11910" w:h="16840"/>
          <w:pgMar w:top="1540" w:right="1480" w:bottom="1380" w:left="1660" w:header="0" w:footer="1191" w:gutter="0"/>
          <w:cols w:space="720" w:num="1"/>
        </w:sectPr>
      </w:pPr>
    </w:p>
    <w:p>
      <w:pPr>
        <w:pStyle w:val="4"/>
        <w:ind w:left="357"/>
        <w:rPr>
          <w:sz w:val="20"/>
        </w:rPr>
      </w:pPr>
      <w:r>
        <w:rPr>
          <w:sz w:val="20"/>
        </w:rPr>
        <w:drawing>
          <wp:inline distT="0" distB="0" distL="0" distR="0">
            <wp:extent cx="4896485" cy="251142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4" cstate="print"/>
                    <a:stretch>
                      <a:fillRect/>
                    </a:stretch>
                  </pic:blipFill>
                  <pic:spPr>
                    <a:xfrm>
                      <a:off x="0" y="0"/>
                      <a:ext cx="4896804" cy="2511552"/>
                    </a:xfrm>
                    <a:prstGeom prst="rect">
                      <a:avLst/>
                    </a:prstGeom>
                  </pic:spPr>
                </pic:pic>
              </a:graphicData>
            </a:graphic>
          </wp:inline>
        </w:drawing>
      </w:r>
    </w:p>
    <w:p>
      <w:pPr>
        <w:pStyle w:val="3"/>
        <w:spacing w:line="381" w:lineRule="exact"/>
        <w:ind w:firstLine="0"/>
      </w:pPr>
      <w:bookmarkStart w:id="10" w:name="（二）一般公共预算财政拨款支出决算结构情况"/>
      <w:bookmarkEnd w:id="10"/>
      <w:r>
        <w:t>（二）一般公共预算财政拨款支出决算结构情况</w:t>
      </w:r>
    </w:p>
    <w:p>
      <w:pPr>
        <w:pStyle w:val="4"/>
        <w:spacing w:before="190"/>
        <w:ind w:left="780"/>
      </w:pPr>
      <w:r>
        <w:t>2020 年一般公共预算财政拨款支出 547.69 万元，主要</w:t>
      </w:r>
    </w:p>
    <w:p>
      <w:pPr>
        <w:spacing w:before="190" w:line="350" w:lineRule="auto"/>
        <w:ind w:left="140" w:right="109" w:firstLine="0"/>
        <w:jc w:val="left"/>
        <w:rPr>
          <w:sz w:val="32"/>
        </w:rPr>
      </w:pPr>
      <w:r>
        <w:rPr>
          <w:spacing w:val="13"/>
          <w:sz w:val="32"/>
        </w:rPr>
        <w:t>用于以下方面:</w:t>
      </w:r>
      <w:r>
        <w:rPr>
          <w:b/>
          <w:spacing w:val="14"/>
          <w:sz w:val="32"/>
        </w:rPr>
        <w:t>一般公共服务（</w:t>
      </w:r>
      <w:r>
        <w:rPr>
          <w:b/>
          <w:spacing w:val="17"/>
          <w:sz w:val="32"/>
        </w:rPr>
        <w:t>类</w:t>
      </w:r>
      <w:r>
        <w:rPr>
          <w:b/>
          <w:spacing w:val="14"/>
          <w:sz w:val="32"/>
        </w:rPr>
        <w:t>）</w:t>
      </w:r>
      <w:r>
        <w:rPr>
          <w:spacing w:val="-21"/>
          <w:sz w:val="32"/>
        </w:rPr>
        <w:t xml:space="preserve">支出 </w:t>
      </w:r>
      <w:r>
        <w:rPr>
          <w:sz w:val="32"/>
        </w:rPr>
        <w:t>430.79</w:t>
      </w:r>
      <w:r>
        <w:rPr>
          <w:spacing w:val="-8"/>
          <w:sz w:val="32"/>
        </w:rPr>
        <w:t xml:space="preserve"> 万元，占</w:t>
      </w:r>
      <w:r>
        <w:rPr>
          <w:spacing w:val="-12"/>
          <w:sz w:val="32"/>
        </w:rPr>
        <w:t>78.66%；</w:t>
      </w:r>
      <w:r>
        <w:rPr>
          <w:b/>
          <w:spacing w:val="-21"/>
          <w:sz w:val="32"/>
        </w:rPr>
        <w:t>教育支出</w:t>
      </w:r>
      <w:r>
        <w:rPr>
          <w:b/>
          <w:sz w:val="32"/>
        </w:rPr>
        <w:t>（类</w:t>
      </w:r>
      <w:r>
        <w:rPr>
          <w:b/>
          <w:spacing w:val="-17"/>
          <w:sz w:val="32"/>
        </w:rPr>
        <w:t>）</w:t>
      </w:r>
      <w:r>
        <w:rPr>
          <w:spacing w:val="-17"/>
          <w:sz w:val="32"/>
        </w:rPr>
        <w:t>2.03</w:t>
      </w:r>
      <w:r>
        <w:rPr>
          <w:spacing w:val="-45"/>
          <w:sz w:val="32"/>
        </w:rPr>
        <w:t xml:space="preserve"> 万元，占 </w:t>
      </w:r>
      <w:r>
        <w:rPr>
          <w:spacing w:val="-15"/>
          <w:sz w:val="32"/>
        </w:rPr>
        <w:t>0.37%；</w:t>
      </w:r>
      <w:r>
        <w:rPr>
          <w:b/>
          <w:spacing w:val="-20"/>
          <w:sz w:val="32"/>
        </w:rPr>
        <w:t>科学技术</w:t>
      </w:r>
      <w:r>
        <w:rPr>
          <w:b/>
          <w:sz w:val="32"/>
        </w:rPr>
        <w:t xml:space="preserve">（类） </w:t>
      </w:r>
      <w:r>
        <w:rPr>
          <w:spacing w:val="-29"/>
          <w:sz w:val="32"/>
        </w:rPr>
        <w:t xml:space="preserve">支出 </w:t>
      </w:r>
      <w:r>
        <w:rPr>
          <w:sz w:val="32"/>
        </w:rPr>
        <w:t>0</w:t>
      </w:r>
      <w:r>
        <w:rPr>
          <w:spacing w:val="-41"/>
          <w:sz w:val="32"/>
        </w:rPr>
        <w:t xml:space="preserve"> 万元，占 </w:t>
      </w:r>
      <w:r>
        <w:rPr>
          <w:spacing w:val="-22"/>
          <w:sz w:val="32"/>
        </w:rPr>
        <w:t>0%；</w:t>
      </w:r>
      <w:r>
        <w:rPr>
          <w:b/>
          <w:spacing w:val="-8"/>
          <w:sz w:val="32"/>
        </w:rPr>
        <w:t>文化旅游体育与传媒</w:t>
      </w:r>
      <w:r>
        <w:rPr>
          <w:b/>
          <w:sz w:val="32"/>
        </w:rPr>
        <w:t>（类</w:t>
      </w:r>
      <w:r>
        <w:rPr>
          <w:b/>
          <w:spacing w:val="-67"/>
          <w:sz w:val="32"/>
        </w:rPr>
        <w:t>）</w:t>
      </w:r>
      <w:r>
        <w:rPr>
          <w:b/>
          <w:spacing w:val="-28"/>
          <w:sz w:val="32"/>
        </w:rPr>
        <w:t xml:space="preserve">支出 </w:t>
      </w:r>
      <w:r>
        <w:rPr>
          <w:b/>
          <w:sz w:val="32"/>
        </w:rPr>
        <w:t>0</w:t>
      </w:r>
      <w:r>
        <w:rPr>
          <w:b/>
          <w:spacing w:val="-21"/>
          <w:sz w:val="32"/>
        </w:rPr>
        <w:t xml:space="preserve"> 万元， </w:t>
      </w:r>
      <w:r>
        <w:rPr>
          <w:b/>
          <w:spacing w:val="-54"/>
          <w:sz w:val="32"/>
        </w:rPr>
        <w:t xml:space="preserve">占 </w:t>
      </w:r>
      <w:r>
        <w:rPr>
          <w:b/>
          <w:sz w:val="32"/>
        </w:rPr>
        <w:t>0%</w:t>
      </w:r>
      <w:r>
        <w:rPr>
          <w:sz w:val="32"/>
        </w:rPr>
        <w:t>；</w:t>
      </w:r>
      <w:r>
        <w:rPr>
          <w:b/>
          <w:spacing w:val="-1"/>
          <w:sz w:val="32"/>
        </w:rPr>
        <w:t>社会保障和就业</w:t>
      </w:r>
      <w:r>
        <w:rPr>
          <w:b/>
          <w:sz w:val="32"/>
        </w:rPr>
        <w:t>（类</w:t>
      </w:r>
      <w:r>
        <w:rPr>
          <w:b/>
          <w:spacing w:val="-5"/>
          <w:sz w:val="32"/>
        </w:rPr>
        <w:t>）</w:t>
      </w:r>
      <w:r>
        <w:rPr>
          <w:spacing w:val="-29"/>
          <w:sz w:val="32"/>
        </w:rPr>
        <w:t xml:space="preserve">支出 </w:t>
      </w:r>
      <w:r>
        <w:rPr>
          <w:sz w:val="32"/>
        </w:rPr>
        <w:t>75.11</w:t>
      </w:r>
      <w:r>
        <w:rPr>
          <w:spacing w:val="-31"/>
          <w:sz w:val="32"/>
        </w:rPr>
        <w:t xml:space="preserve"> 万元，占 </w:t>
      </w:r>
      <w:r>
        <w:rPr>
          <w:sz w:val="32"/>
        </w:rPr>
        <w:t xml:space="preserve">13.71%； </w:t>
      </w:r>
      <w:r>
        <w:rPr>
          <w:b/>
          <w:spacing w:val="1"/>
          <w:w w:val="99"/>
          <w:sz w:val="32"/>
        </w:rPr>
        <w:t>卫生健康支出</w:t>
      </w:r>
      <w:r>
        <w:rPr>
          <w:b/>
          <w:spacing w:val="-80"/>
          <w:sz w:val="32"/>
        </w:rPr>
        <w:t xml:space="preserve"> </w:t>
      </w:r>
      <w:r>
        <w:rPr>
          <w:spacing w:val="1"/>
          <w:w w:val="99"/>
          <w:sz w:val="32"/>
        </w:rPr>
        <w:t>1</w:t>
      </w:r>
      <w:r>
        <w:rPr>
          <w:spacing w:val="-2"/>
          <w:w w:val="99"/>
          <w:sz w:val="32"/>
        </w:rPr>
        <w:t>9</w:t>
      </w:r>
      <w:r>
        <w:rPr>
          <w:spacing w:val="1"/>
          <w:w w:val="99"/>
          <w:sz w:val="32"/>
        </w:rPr>
        <w:t>.7</w:t>
      </w:r>
      <w:r>
        <w:rPr>
          <w:w w:val="99"/>
          <w:sz w:val="32"/>
        </w:rPr>
        <w:t>6</w:t>
      </w:r>
      <w:r>
        <w:rPr>
          <w:spacing w:val="-82"/>
          <w:sz w:val="32"/>
        </w:rPr>
        <w:t xml:space="preserve"> </w:t>
      </w:r>
      <w:r>
        <w:rPr>
          <w:spacing w:val="-34"/>
          <w:w w:val="99"/>
          <w:sz w:val="32"/>
        </w:rPr>
        <w:t>万元，占</w:t>
      </w:r>
      <w:r>
        <w:rPr>
          <w:spacing w:val="-34"/>
          <w:sz w:val="32"/>
        </w:rPr>
        <w:t xml:space="preserve"> </w:t>
      </w:r>
      <w:r>
        <w:rPr>
          <w:spacing w:val="1"/>
          <w:w w:val="99"/>
          <w:sz w:val="32"/>
        </w:rPr>
        <w:t>3.</w:t>
      </w:r>
      <w:r>
        <w:rPr>
          <w:spacing w:val="-2"/>
          <w:w w:val="99"/>
          <w:sz w:val="32"/>
        </w:rPr>
        <w:t>6</w:t>
      </w:r>
      <w:r>
        <w:rPr>
          <w:spacing w:val="1"/>
          <w:w w:val="99"/>
          <w:sz w:val="32"/>
        </w:rPr>
        <w:t>1%</w:t>
      </w:r>
      <w:r>
        <w:rPr>
          <w:spacing w:val="-135"/>
          <w:w w:val="99"/>
          <w:sz w:val="32"/>
        </w:rPr>
        <w:t>；</w:t>
      </w:r>
      <w:r>
        <w:rPr>
          <w:b/>
          <w:spacing w:val="1"/>
          <w:w w:val="99"/>
          <w:sz w:val="32"/>
        </w:rPr>
        <w:t>住房保障支出</w:t>
      </w:r>
      <w:r>
        <w:rPr>
          <w:b/>
          <w:spacing w:val="-80"/>
          <w:sz w:val="32"/>
        </w:rPr>
        <w:t xml:space="preserve"> </w:t>
      </w:r>
      <w:r>
        <w:rPr>
          <w:spacing w:val="1"/>
          <w:w w:val="99"/>
          <w:sz w:val="32"/>
        </w:rPr>
        <w:t>2</w:t>
      </w:r>
      <w:r>
        <w:rPr>
          <w:w w:val="99"/>
          <w:sz w:val="32"/>
        </w:rPr>
        <w:t>0</w:t>
      </w:r>
      <w:r>
        <w:rPr>
          <w:spacing w:val="-80"/>
          <w:sz w:val="32"/>
        </w:rPr>
        <w:t xml:space="preserve"> </w:t>
      </w:r>
      <w:r>
        <w:rPr>
          <w:w w:val="99"/>
          <w:sz w:val="32"/>
        </w:rPr>
        <w:t>万元，</w:t>
      </w:r>
      <w:r>
        <w:rPr>
          <w:spacing w:val="-40"/>
          <w:sz w:val="32"/>
        </w:rPr>
        <w:t xml:space="preserve">占 </w:t>
      </w:r>
      <w:r>
        <w:rPr>
          <w:sz w:val="32"/>
        </w:rPr>
        <w:t>3.65%。</w:t>
      </w:r>
    </w:p>
    <w:p>
      <w:pPr>
        <w:pStyle w:val="4"/>
        <w:spacing w:line="366" w:lineRule="exact"/>
      </w:pPr>
      <w:r>
        <w:t>（图 6：一般公共预算财政拨款支出决算结构）（饼状图）</w:t>
      </w:r>
    </w:p>
    <w:p>
      <w:pPr>
        <w:pStyle w:val="4"/>
        <w:spacing w:before="11"/>
        <w:ind w:left="0"/>
        <w:rPr>
          <w:sz w:val="12"/>
        </w:rPr>
      </w:pPr>
      <w:r>
        <w:drawing>
          <wp:anchor distT="0" distB="0" distL="0" distR="0" simplePos="0" relativeHeight="251660288" behindDoc="0" locked="0" layoutInCell="1" allowOverlap="1">
            <wp:simplePos x="0" y="0"/>
            <wp:positionH relativeFrom="page">
              <wp:posOffset>1123315</wp:posOffset>
            </wp:positionH>
            <wp:positionV relativeFrom="paragraph">
              <wp:posOffset>129540</wp:posOffset>
            </wp:positionV>
            <wp:extent cx="5116830" cy="262763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5" cstate="print"/>
                    <a:stretch>
                      <a:fillRect/>
                    </a:stretch>
                  </pic:blipFill>
                  <pic:spPr>
                    <a:xfrm>
                      <a:off x="0" y="0"/>
                      <a:ext cx="5116689" cy="2627376"/>
                    </a:xfrm>
                    <a:prstGeom prst="rect">
                      <a:avLst/>
                    </a:prstGeom>
                  </pic:spPr>
                </pic:pic>
              </a:graphicData>
            </a:graphic>
          </wp:anchor>
        </w:drawing>
      </w:r>
    </w:p>
    <w:p>
      <w:pPr>
        <w:spacing w:after="0"/>
        <w:rPr>
          <w:sz w:val="12"/>
        </w:rPr>
        <w:sectPr>
          <w:pgSz w:w="11910" w:h="16840"/>
          <w:pgMar w:top="1400" w:right="1480" w:bottom="1380" w:left="1660" w:header="0" w:footer="1191" w:gutter="0"/>
          <w:cols w:space="720" w:num="1"/>
        </w:sectPr>
      </w:pPr>
    </w:p>
    <w:p>
      <w:pPr>
        <w:pStyle w:val="3"/>
        <w:spacing w:before="43"/>
        <w:ind w:firstLine="0"/>
      </w:pPr>
      <w:bookmarkStart w:id="11" w:name="（三）一般公共预算财政拨款支出决算具体情况"/>
      <w:bookmarkEnd w:id="11"/>
      <w:r>
        <w:t>（三）一般公共预算财政拨款支出决算具体情况</w:t>
      </w:r>
    </w:p>
    <w:p>
      <w:pPr>
        <w:spacing w:before="190"/>
        <w:ind w:left="780" w:right="0" w:firstLine="0"/>
        <w:jc w:val="left"/>
        <w:rPr>
          <w:b/>
          <w:sz w:val="32"/>
        </w:rPr>
      </w:pPr>
      <w:bookmarkStart w:id="12" w:name="2020年一般公共预算支出决算数为547.69，完成预算95.89%。其中："/>
      <w:bookmarkEnd w:id="12"/>
      <w:r>
        <w:rPr>
          <w:b/>
          <w:sz w:val="32"/>
        </w:rPr>
        <w:t>2020 年一般公共预算支出决算数为 547.69</w:t>
      </w:r>
      <w:r>
        <w:rPr>
          <w:sz w:val="32"/>
        </w:rPr>
        <w:t>，</w:t>
      </w:r>
      <w:r>
        <w:rPr>
          <w:b/>
          <w:sz w:val="32"/>
        </w:rPr>
        <w:t>完成预算</w:t>
      </w:r>
    </w:p>
    <w:p>
      <w:pPr>
        <w:pStyle w:val="9"/>
        <w:numPr>
          <w:ilvl w:val="1"/>
          <w:numId w:val="3"/>
        </w:numPr>
        <w:tabs>
          <w:tab w:val="left" w:pos="947"/>
        </w:tabs>
        <w:spacing w:before="190" w:after="0" w:line="240" w:lineRule="auto"/>
        <w:ind w:left="946" w:right="0" w:hanging="807"/>
        <w:jc w:val="left"/>
        <w:rPr>
          <w:b/>
          <w:sz w:val="32"/>
        </w:rPr>
      </w:pPr>
      <w:r>
        <w:rPr>
          <w:b/>
          <w:sz w:val="32"/>
        </w:rPr>
        <w:t>%。其中：</w:t>
      </w:r>
    </w:p>
    <w:p>
      <w:pPr>
        <w:pStyle w:val="9"/>
        <w:numPr>
          <w:ilvl w:val="2"/>
          <w:numId w:val="3"/>
        </w:numPr>
        <w:tabs>
          <w:tab w:val="left" w:pos="1103"/>
        </w:tabs>
        <w:spacing w:before="190" w:after="0" w:line="350" w:lineRule="auto"/>
        <w:ind w:left="140" w:right="275" w:firstLine="640"/>
        <w:jc w:val="both"/>
        <w:rPr>
          <w:sz w:val="32"/>
        </w:rPr>
      </w:pPr>
      <w:r>
        <w:rPr>
          <w:b/>
          <w:spacing w:val="-4"/>
          <w:w w:val="95"/>
          <w:sz w:val="32"/>
        </w:rPr>
        <w:t>一般公共服务</w:t>
      </w:r>
      <w:r>
        <w:rPr>
          <w:b/>
          <w:w w:val="95"/>
          <w:sz w:val="32"/>
        </w:rPr>
        <w:t>（类</w:t>
      </w:r>
      <w:r>
        <w:rPr>
          <w:b/>
          <w:spacing w:val="-24"/>
          <w:w w:val="95"/>
          <w:sz w:val="32"/>
        </w:rPr>
        <w:t>）</w:t>
      </w:r>
      <w:r>
        <w:rPr>
          <w:b/>
          <w:spacing w:val="-6"/>
          <w:w w:val="95"/>
          <w:sz w:val="32"/>
        </w:rPr>
        <w:t>商贸事务</w:t>
      </w:r>
      <w:r>
        <w:rPr>
          <w:b/>
          <w:w w:val="95"/>
          <w:sz w:val="32"/>
        </w:rPr>
        <w:t>（款</w:t>
      </w:r>
      <w:r>
        <w:rPr>
          <w:b/>
          <w:spacing w:val="-24"/>
          <w:w w:val="95"/>
          <w:sz w:val="32"/>
        </w:rPr>
        <w:t>）</w:t>
      </w:r>
      <w:r>
        <w:rPr>
          <w:b/>
          <w:spacing w:val="-7"/>
          <w:w w:val="95"/>
          <w:sz w:val="32"/>
        </w:rPr>
        <w:t>行政运行</w:t>
      </w:r>
      <w:r>
        <w:rPr>
          <w:b/>
          <w:w w:val="95"/>
          <w:sz w:val="32"/>
        </w:rPr>
        <w:t>（项</w:t>
      </w:r>
      <w:r>
        <w:rPr>
          <w:b/>
          <w:spacing w:val="-14"/>
          <w:w w:val="95"/>
          <w:sz w:val="32"/>
        </w:rPr>
        <w:t xml:space="preserve">）: </w:t>
      </w:r>
      <w:r>
        <w:rPr>
          <w:spacing w:val="-12"/>
          <w:sz w:val="32"/>
        </w:rPr>
        <w:t xml:space="preserve">支出决算为 </w:t>
      </w:r>
      <w:r>
        <w:rPr>
          <w:sz w:val="32"/>
        </w:rPr>
        <w:t>366.44</w:t>
      </w:r>
      <w:r>
        <w:rPr>
          <w:spacing w:val="-18"/>
          <w:sz w:val="32"/>
        </w:rPr>
        <w:t xml:space="preserve"> 万元，完成预算 </w:t>
      </w:r>
      <w:r>
        <w:rPr>
          <w:sz w:val="32"/>
        </w:rPr>
        <w:t>85.22%，决算数小于预</w:t>
      </w:r>
      <w:r>
        <w:rPr>
          <w:spacing w:val="-2"/>
          <w:sz w:val="32"/>
        </w:rPr>
        <w:t>算数的主要原因是受疫情影响，年初安排的相关会议，取消或是缩小规模，因疫情防控需要，因公出差减少。</w:t>
      </w:r>
    </w:p>
    <w:p>
      <w:pPr>
        <w:pStyle w:val="3"/>
        <w:numPr>
          <w:ilvl w:val="2"/>
          <w:numId w:val="3"/>
        </w:numPr>
        <w:tabs>
          <w:tab w:val="left" w:pos="1103"/>
        </w:tabs>
        <w:spacing w:before="0" w:after="0" w:line="363" w:lineRule="exact"/>
        <w:ind w:left="1102" w:right="0" w:hanging="323"/>
        <w:jc w:val="left"/>
      </w:pPr>
      <w:r>
        <w:rPr>
          <w:spacing w:val="-2"/>
        </w:rPr>
        <w:t>一般公共服务</w:t>
      </w:r>
      <w:r>
        <w:rPr>
          <w:spacing w:val="5"/>
        </w:rPr>
        <w:t>（</w:t>
      </w:r>
      <w:r>
        <w:t>类</w:t>
      </w:r>
      <w:r>
        <w:rPr>
          <w:spacing w:val="-7"/>
        </w:rPr>
        <w:t>）</w:t>
      </w:r>
      <w:r>
        <w:rPr>
          <w:spacing w:val="-3"/>
        </w:rPr>
        <w:t>商贸事务</w:t>
      </w:r>
      <w:r>
        <w:t>（款</w:t>
      </w:r>
      <w:r>
        <w:rPr>
          <w:spacing w:val="-10"/>
        </w:rPr>
        <w:t>）</w:t>
      </w:r>
      <w:r>
        <w:t>一般行政管理事</w:t>
      </w:r>
    </w:p>
    <w:p>
      <w:pPr>
        <w:pStyle w:val="4"/>
        <w:spacing w:before="214" w:line="364" w:lineRule="auto"/>
        <w:ind w:right="317"/>
        <w:jc w:val="both"/>
      </w:pPr>
      <w:r>
        <w:rPr>
          <w:b/>
          <w:spacing w:val="-19"/>
        </w:rPr>
        <w:t>务</w:t>
      </w:r>
      <w:r>
        <w:rPr>
          <w:b/>
        </w:rPr>
        <w:t>（项</w:t>
      </w:r>
      <w:r>
        <w:rPr>
          <w:b/>
          <w:spacing w:val="-18"/>
        </w:rPr>
        <w:t>）：</w:t>
      </w:r>
      <w:r>
        <w:rPr>
          <w:spacing w:val="-15"/>
        </w:rPr>
        <w:t xml:space="preserve">支出决算为 </w:t>
      </w:r>
      <w:r>
        <w:t>43.09</w:t>
      </w:r>
      <w:r>
        <w:rPr>
          <w:spacing w:val="-24"/>
        </w:rPr>
        <w:t xml:space="preserve"> 万元，完成预算 </w:t>
      </w:r>
      <w:r>
        <w:rPr>
          <w:spacing w:val="-3"/>
        </w:rPr>
        <w:t>42.53</w:t>
      </w:r>
      <w:r>
        <w:rPr>
          <w:spacing w:val="-2"/>
        </w:rPr>
        <w:t>%，决算</w:t>
      </w:r>
      <w:r>
        <w:rPr>
          <w:spacing w:val="11"/>
          <w:w w:val="95"/>
        </w:rPr>
        <w:t xml:space="preserve">数小于预算数的主要原因是办公用房维修费用结转到下一 </w:t>
      </w:r>
      <w:r>
        <w:rPr>
          <w:spacing w:val="11"/>
        </w:rPr>
        <w:t>年开支。</w:t>
      </w:r>
    </w:p>
    <w:p>
      <w:pPr>
        <w:pStyle w:val="9"/>
        <w:numPr>
          <w:ilvl w:val="2"/>
          <w:numId w:val="3"/>
        </w:numPr>
        <w:tabs>
          <w:tab w:val="left" w:pos="1103"/>
        </w:tabs>
        <w:spacing w:before="2" w:after="0" w:line="364" w:lineRule="auto"/>
        <w:ind w:left="140" w:right="116" w:firstLine="640"/>
        <w:jc w:val="left"/>
        <w:rPr>
          <w:sz w:val="32"/>
        </w:rPr>
      </w:pPr>
      <w:r>
        <w:rPr>
          <w:b/>
          <w:spacing w:val="-4"/>
          <w:w w:val="95"/>
          <w:sz w:val="32"/>
        </w:rPr>
        <w:t>一般公共服务</w:t>
      </w:r>
      <w:r>
        <w:rPr>
          <w:b/>
          <w:w w:val="95"/>
          <w:sz w:val="32"/>
        </w:rPr>
        <w:t>（类</w:t>
      </w:r>
      <w:r>
        <w:rPr>
          <w:b/>
          <w:spacing w:val="-24"/>
          <w:w w:val="95"/>
          <w:sz w:val="32"/>
        </w:rPr>
        <w:t>）</w:t>
      </w:r>
      <w:r>
        <w:rPr>
          <w:b/>
          <w:spacing w:val="-6"/>
          <w:w w:val="95"/>
          <w:sz w:val="32"/>
        </w:rPr>
        <w:t>商贸事务</w:t>
      </w:r>
      <w:r>
        <w:rPr>
          <w:b/>
          <w:w w:val="95"/>
          <w:sz w:val="32"/>
        </w:rPr>
        <w:t>（款</w:t>
      </w:r>
      <w:r>
        <w:rPr>
          <w:b/>
          <w:spacing w:val="-24"/>
          <w:w w:val="95"/>
          <w:sz w:val="32"/>
        </w:rPr>
        <w:t>）</w:t>
      </w:r>
      <w:r>
        <w:rPr>
          <w:b/>
          <w:spacing w:val="-7"/>
          <w:w w:val="95"/>
          <w:sz w:val="32"/>
        </w:rPr>
        <w:t>招商引资</w:t>
      </w:r>
      <w:r>
        <w:rPr>
          <w:b/>
          <w:w w:val="95"/>
          <w:sz w:val="32"/>
        </w:rPr>
        <w:t>（项</w:t>
      </w:r>
      <w:r>
        <w:rPr>
          <w:b/>
          <w:spacing w:val="-14"/>
          <w:w w:val="95"/>
          <w:sz w:val="32"/>
        </w:rPr>
        <w:t xml:space="preserve">）： </w:t>
      </w:r>
      <w:r>
        <w:rPr>
          <w:spacing w:val="-14"/>
          <w:sz w:val="32"/>
        </w:rPr>
        <w:t xml:space="preserve">支出决算为 </w:t>
      </w:r>
      <w:r>
        <w:rPr>
          <w:sz w:val="32"/>
        </w:rPr>
        <w:t>21.26</w:t>
      </w:r>
      <w:r>
        <w:rPr>
          <w:spacing w:val="-26"/>
          <w:sz w:val="32"/>
        </w:rPr>
        <w:t xml:space="preserve"> 万元，完成预算 </w:t>
      </w:r>
      <w:r>
        <w:rPr>
          <w:spacing w:val="-7"/>
          <w:sz w:val="32"/>
        </w:rPr>
        <w:t>94.06</w:t>
      </w:r>
      <w:r>
        <w:rPr>
          <w:spacing w:val="-4"/>
          <w:sz w:val="32"/>
        </w:rPr>
        <w:t>%，决算数小于预算</w:t>
      </w:r>
      <w:r>
        <w:rPr>
          <w:spacing w:val="-5"/>
          <w:sz w:val="32"/>
        </w:rPr>
        <w:t>数的主要原因是受疫情影响，政务、商务活动减少，车辆租赁支出减少。</w:t>
      </w:r>
    </w:p>
    <w:p>
      <w:pPr>
        <w:pStyle w:val="9"/>
        <w:numPr>
          <w:ilvl w:val="2"/>
          <w:numId w:val="3"/>
        </w:numPr>
        <w:tabs>
          <w:tab w:val="left" w:pos="1103"/>
        </w:tabs>
        <w:spacing w:before="56" w:after="0" w:line="350" w:lineRule="auto"/>
        <w:ind w:left="140" w:right="315" w:firstLine="640"/>
        <w:jc w:val="both"/>
        <w:rPr>
          <w:sz w:val="32"/>
        </w:rPr>
      </w:pPr>
      <w:r>
        <w:rPr>
          <w:b/>
          <w:spacing w:val="-3"/>
          <w:sz w:val="32"/>
        </w:rPr>
        <w:t>教育</w:t>
      </w:r>
      <w:r>
        <w:rPr>
          <w:b/>
          <w:sz w:val="32"/>
        </w:rPr>
        <w:t>（类</w:t>
      </w:r>
      <w:r>
        <w:rPr>
          <w:b/>
          <w:spacing w:val="-5"/>
          <w:sz w:val="32"/>
        </w:rPr>
        <w:t>）</w:t>
      </w:r>
      <w:r>
        <w:rPr>
          <w:b/>
          <w:spacing w:val="-1"/>
          <w:sz w:val="32"/>
        </w:rPr>
        <w:t>进修及培训</w:t>
      </w:r>
      <w:r>
        <w:rPr>
          <w:b/>
          <w:sz w:val="32"/>
        </w:rPr>
        <w:t>（款</w:t>
      </w:r>
      <w:r>
        <w:rPr>
          <w:b/>
          <w:spacing w:val="-5"/>
          <w:sz w:val="32"/>
        </w:rPr>
        <w:t>）</w:t>
      </w:r>
      <w:r>
        <w:rPr>
          <w:b/>
          <w:spacing w:val="-2"/>
          <w:sz w:val="32"/>
        </w:rPr>
        <w:t>培训支出</w:t>
      </w:r>
      <w:r>
        <w:rPr>
          <w:b/>
          <w:sz w:val="32"/>
        </w:rPr>
        <w:t>（项</w:t>
      </w:r>
      <w:r>
        <w:rPr>
          <w:b/>
          <w:spacing w:val="-3"/>
          <w:sz w:val="32"/>
        </w:rPr>
        <w:t>）</w:t>
      </w:r>
      <w:r>
        <w:rPr>
          <w:b/>
          <w:spacing w:val="-12"/>
          <w:sz w:val="32"/>
        </w:rPr>
        <w:t xml:space="preserve">: </w:t>
      </w:r>
      <w:r>
        <w:rPr>
          <w:sz w:val="32"/>
        </w:rPr>
        <w:t>支出</w:t>
      </w:r>
      <w:r>
        <w:rPr>
          <w:spacing w:val="-19"/>
          <w:sz w:val="32"/>
        </w:rPr>
        <w:t xml:space="preserve">决算为 </w:t>
      </w:r>
      <w:r>
        <w:rPr>
          <w:sz w:val="32"/>
        </w:rPr>
        <w:t>2.03</w:t>
      </w:r>
      <w:r>
        <w:rPr>
          <w:spacing w:val="-18"/>
          <w:sz w:val="32"/>
        </w:rPr>
        <w:t xml:space="preserve"> 万元，完成预算 </w:t>
      </w:r>
      <w:r>
        <w:rPr>
          <w:sz w:val="32"/>
        </w:rPr>
        <w:t>40.28%，决算数小于预算数的</w:t>
      </w:r>
      <w:r>
        <w:rPr>
          <w:spacing w:val="-2"/>
          <w:sz w:val="32"/>
        </w:rPr>
        <w:t>主要原因是受疫情影响，年初安排的相关培训缩小规模，支出相应减少。</w:t>
      </w:r>
    </w:p>
    <w:p>
      <w:pPr>
        <w:pStyle w:val="9"/>
        <w:numPr>
          <w:ilvl w:val="2"/>
          <w:numId w:val="3"/>
        </w:numPr>
        <w:tabs>
          <w:tab w:val="left" w:pos="1103"/>
        </w:tabs>
        <w:spacing w:before="6" w:after="0" w:line="350" w:lineRule="auto"/>
        <w:ind w:left="140" w:right="269" w:firstLine="640"/>
        <w:jc w:val="both"/>
        <w:rPr>
          <w:sz w:val="32"/>
        </w:rPr>
      </w:pPr>
      <w:r>
        <w:rPr>
          <w:b/>
          <w:sz w:val="32"/>
        </w:rPr>
        <w:t xml:space="preserve">社会保障和就业（类）行政事业单位养老支出（款） </w:t>
      </w:r>
      <w:r>
        <w:rPr>
          <w:b/>
          <w:spacing w:val="-1"/>
          <w:sz w:val="32"/>
        </w:rPr>
        <w:t>行政单位离退休</w:t>
      </w:r>
      <w:r>
        <w:rPr>
          <w:b/>
          <w:sz w:val="32"/>
        </w:rPr>
        <w:t>（项</w:t>
      </w:r>
      <w:r>
        <w:rPr>
          <w:b/>
          <w:spacing w:val="-3"/>
          <w:sz w:val="32"/>
        </w:rPr>
        <w:t>）</w:t>
      </w:r>
      <w:r>
        <w:rPr>
          <w:b/>
          <w:spacing w:val="-6"/>
          <w:sz w:val="32"/>
        </w:rPr>
        <w:t xml:space="preserve">: </w:t>
      </w:r>
      <w:r>
        <w:rPr>
          <w:spacing w:val="-14"/>
          <w:sz w:val="32"/>
        </w:rPr>
        <w:t xml:space="preserve">支出决算为 </w:t>
      </w:r>
      <w:r>
        <w:rPr>
          <w:sz w:val="32"/>
        </w:rPr>
        <w:t>41.77</w:t>
      </w:r>
      <w:r>
        <w:rPr>
          <w:spacing w:val="-13"/>
          <w:sz w:val="32"/>
        </w:rPr>
        <w:t xml:space="preserve"> 万元，完成预算100%，决算数等于预算数。</w:t>
      </w:r>
    </w:p>
    <w:p>
      <w:pPr>
        <w:spacing w:after="0" w:line="350" w:lineRule="auto"/>
        <w:jc w:val="both"/>
        <w:rPr>
          <w:sz w:val="32"/>
        </w:rPr>
        <w:sectPr>
          <w:pgSz w:w="11910" w:h="16840"/>
          <w:pgMar w:top="1540" w:right="1480" w:bottom="1380" w:left="1660" w:header="0" w:footer="1191" w:gutter="0"/>
          <w:cols w:space="720" w:num="1"/>
        </w:sectPr>
      </w:pPr>
    </w:p>
    <w:p>
      <w:pPr>
        <w:pStyle w:val="9"/>
        <w:numPr>
          <w:ilvl w:val="2"/>
          <w:numId w:val="3"/>
        </w:numPr>
        <w:tabs>
          <w:tab w:val="left" w:pos="1103"/>
        </w:tabs>
        <w:spacing w:before="43" w:after="0" w:line="350" w:lineRule="auto"/>
        <w:ind w:left="140" w:right="269" w:firstLine="640"/>
        <w:jc w:val="both"/>
        <w:rPr>
          <w:sz w:val="32"/>
        </w:rPr>
      </w:pPr>
      <w:r>
        <w:rPr>
          <w:b/>
          <w:sz w:val="32"/>
        </w:rPr>
        <w:t>社会保障和就业（类）行政事业单位养老支出（款） 机关事业单位基本养老保险缴费（项）：</w:t>
      </w:r>
      <w:r>
        <w:rPr>
          <w:spacing w:val="-29"/>
          <w:sz w:val="32"/>
        </w:rPr>
        <w:t xml:space="preserve">支出 </w:t>
      </w:r>
      <w:r>
        <w:rPr>
          <w:sz w:val="32"/>
        </w:rPr>
        <w:t>28.39</w:t>
      </w:r>
      <w:r>
        <w:rPr>
          <w:spacing w:val="-22"/>
          <w:sz w:val="32"/>
        </w:rPr>
        <w:t xml:space="preserve"> 万元， </w:t>
      </w:r>
      <w:r>
        <w:rPr>
          <w:spacing w:val="-35"/>
          <w:sz w:val="32"/>
        </w:rPr>
        <w:t xml:space="preserve">完成预算 </w:t>
      </w:r>
      <w:r>
        <w:rPr>
          <w:spacing w:val="-14"/>
          <w:sz w:val="32"/>
        </w:rPr>
        <w:t>81.34</w:t>
      </w:r>
      <w:r>
        <w:rPr>
          <w:spacing w:val="-6"/>
          <w:sz w:val="32"/>
        </w:rPr>
        <w:t>%，决算数小于预算数的主要原因是人员编制未满员，支出相应减少。</w:t>
      </w:r>
    </w:p>
    <w:p>
      <w:pPr>
        <w:pStyle w:val="9"/>
        <w:numPr>
          <w:ilvl w:val="2"/>
          <w:numId w:val="3"/>
        </w:numPr>
        <w:tabs>
          <w:tab w:val="left" w:pos="1103"/>
        </w:tabs>
        <w:spacing w:before="5" w:after="0" w:line="350" w:lineRule="auto"/>
        <w:ind w:left="140" w:right="269" w:firstLine="640"/>
        <w:jc w:val="both"/>
        <w:rPr>
          <w:sz w:val="32"/>
        </w:rPr>
      </w:pPr>
      <w:r>
        <w:rPr>
          <w:b/>
          <w:sz w:val="32"/>
        </w:rPr>
        <w:t xml:space="preserve">社会保障和就业（类）行政事业单位养老支出（款） </w:t>
      </w:r>
      <w:r>
        <w:rPr>
          <w:b/>
          <w:spacing w:val="7"/>
          <w:sz w:val="32"/>
        </w:rPr>
        <w:t>机关事业单位职业年金缴费支出（项</w:t>
      </w:r>
      <w:r>
        <w:rPr>
          <w:b/>
          <w:spacing w:val="8"/>
          <w:sz w:val="32"/>
        </w:rPr>
        <w:t>）：</w:t>
      </w:r>
      <w:r>
        <w:rPr>
          <w:spacing w:val="-29"/>
          <w:sz w:val="32"/>
        </w:rPr>
        <w:t xml:space="preserve">支出 </w:t>
      </w:r>
      <w:r>
        <w:rPr>
          <w:sz w:val="32"/>
        </w:rPr>
        <w:t>4.95</w:t>
      </w:r>
      <w:r>
        <w:rPr>
          <w:spacing w:val="-21"/>
          <w:sz w:val="32"/>
        </w:rPr>
        <w:t xml:space="preserve"> 万元， </w:t>
      </w:r>
      <w:r>
        <w:rPr>
          <w:spacing w:val="-33"/>
          <w:sz w:val="32"/>
        </w:rPr>
        <w:t xml:space="preserve">完成预算 </w:t>
      </w:r>
      <w:r>
        <w:rPr>
          <w:sz w:val="32"/>
        </w:rPr>
        <w:t>100%，决算数等于预算数。</w:t>
      </w:r>
    </w:p>
    <w:p>
      <w:pPr>
        <w:pStyle w:val="9"/>
        <w:numPr>
          <w:ilvl w:val="2"/>
          <w:numId w:val="3"/>
        </w:numPr>
        <w:tabs>
          <w:tab w:val="left" w:pos="1103"/>
        </w:tabs>
        <w:spacing w:before="5" w:after="0" w:line="350" w:lineRule="auto"/>
        <w:ind w:left="140" w:right="305" w:firstLine="640"/>
        <w:jc w:val="both"/>
        <w:rPr>
          <w:b/>
          <w:sz w:val="32"/>
        </w:rPr>
      </w:pPr>
      <w:r>
        <w:rPr>
          <w:b/>
          <w:spacing w:val="-3"/>
          <w:w w:val="95"/>
          <w:sz w:val="32"/>
        </w:rPr>
        <w:t>卫生健康</w:t>
      </w:r>
      <w:r>
        <w:rPr>
          <w:b/>
          <w:w w:val="95"/>
          <w:sz w:val="32"/>
        </w:rPr>
        <w:t>（类</w:t>
      </w:r>
      <w:r>
        <w:rPr>
          <w:b/>
          <w:spacing w:val="-7"/>
          <w:w w:val="95"/>
          <w:sz w:val="32"/>
        </w:rPr>
        <w:t>）</w:t>
      </w:r>
      <w:r>
        <w:rPr>
          <w:b/>
          <w:spacing w:val="-2"/>
          <w:w w:val="95"/>
          <w:sz w:val="32"/>
        </w:rPr>
        <w:t>行政事业单位医疗</w:t>
      </w:r>
      <w:r>
        <w:rPr>
          <w:b/>
          <w:w w:val="95"/>
          <w:sz w:val="32"/>
        </w:rPr>
        <w:t>（款</w:t>
      </w:r>
      <w:r>
        <w:rPr>
          <w:b/>
          <w:spacing w:val="-7"/>
          <w:w w:val="95"/>
          <w:sz w:val="32"/>
        </w:rPr>
        <w:t>）</w:t>
      </w:r>
      <w:r>
        <w:rPr>
          <w:b/>
          <w:w w:val="95"/>
          <w:sz w:val="32"/>
        </w:rPr>
        <w:t xml:space="preserve">事业单位医 </w:t>
      </w:r>
      <w:r>
        <w:rPr>
          <w:b/>
          <w:spacing w:val="-24"/>
          <w:sz w:val="32"/>
        </w:rPr>
        <w:t>疗</w:t>
      </w:r>
      <w:r>
        <w:rPr>
          <w:b/>
          <w:sz w:val="32"/>
        </w:rPr>
        <w:t>（项</w:t>
      </w:r>
      <w:r>
        <w:rPr>
          <w:b/>
          <w:spacing w:val="-11"/>
          <w:sz w:val="32"/>
        </w:rPr>
        <w:t>）:</w:t>
      </w:r>
      <w:r>
        <w:rPr>
          <w:spacing w:val="-15"/>
          <w:sz w:val="32"/>
        </w:rPr>
        <w:t xml:space="preserve">支出决算为 </w:t>
      </w:r>
      <w:r>
        <w:rPr>
          <w:sz w:val="32"/>
        </w:rPr>
        <w:t>15.9</w:t>
      </w:r>
      <w:r>
        <w:rPr>
          <w:spacing w:val="-23"/>
          <w:sz w:val="32"/>
        </w:rPr>
        <w:t xml:space="preserve"> 万元，完成预算 </w:t>
      </w:r>
      <w:r>
        <w:rPr>
          <w:spacing w:val="-4"/>
          <w:sz w:val="32"/>
        </w:rPr>
        <w:t>71.24</w:t>
      </w:r>
      <w:r>
        <w:rPr>
          <w:spacing w:val="-3"/>
          <w:sz w:val="32"/>
        </w:rPr>
        <w:t>%，决算</w:t>
      </w:r>
      <w:r>
        <w:rPr>
          <w:rFonts w:hint="eastAsia"/>
          <w:spacing w:val="-3"/>
          <w:sz w:val="32"/>
          <w:lang w:val="en-US" w:eastAsia="zh-CN"/>
        </w:rPr>
        <w:t>数</w:t>
      </w:r>
      <w:r>
        <w:rPr>
          <w:spacing w:val="-3"/>
          <w:w w:val="95"/>
          <w:sz w:val="32"/>
        </w:rPr>
        <w:t>小于预算数的主要原因是人员编制未满员，支出相应减少。</w:t>
      </w:r>
    </w:p>
    <w:p>
      <w:pPr>
        <w:pStyle w:val="9"/>
        <w:numPr>
          <w:ilvl w:val="2"/>
          <w:numId w:val="3"/>
        </w:numPr>
        <w:tabs>
          <w:tab w:val="left" w:pos="1103"/>
        </w:tabs>
        <w:spacing w:before="5" w:after="0" w:line="350" w:lineRule="auto"/>
        <w:ind w:left="140" w:right="305" w:firstLine="640"/>
        <w:jc w:val="both"/>
        <w:rPr>
          <w:b/>
          <w:sz w:val="32"/>
        </w:rPr>
      </w:pPr>
      <w:r>
        <w:rPr>
          <w:b/>
          <w:spacing w:val="-5"/>
          <w:w w:val="95"/>
          <w:sz w:val="32"/>
        </w:rPr>
        <w:t>卫生健康</w:t>
      </w:r>
      <w:r>
        <w:rPr>
          <w:b/>
          <w:w w:val="95"/>
          <w:sz w:val="32"/>
        </w:rPr>
        <w:t>（类</w:t>
      </w:r>
      <w:r>
        <w:rPr>
          <w:b/>
          <w:spacing w:val="-7"/>
          <w:w w:val="95"/>
          <w:sz w:val="32"/>
        </w:rPr>
        <w:t>）</w:t>
      </w:r>
      <w:r>
        <w:rPr>
          <w:b/>
          <w:spacing w:val="-2"/>
          <w:w w:val="95"/>
          <w:sz w:val="32"/>
        </w:rPr>
        <w:t>行政事业单位医疗</w:t>
      </w:r>
      <w:r>
        <w:rPr>
          <w:b/>
          <w:w w:val="95"/>
          <w:sz w:val="32"/>
        </w:rPr>
        <w:t>（款</w:t>
      </w:r>
      <w:r>
        <w:rPr>
          <w:b/>
          <w:spacing w:val="-7"/>
          <w:w w:val="95"/>
          <w:sz w:val="32"/>
        </w:rPr>
        <w:t>）</w:t>
      </w:r>
      <w:r>
        <w:rPr>
          <w:b/>
          <w:w w:val="95"/>
          <w:sz w:val="32"/>
        </w:rPr>
        <w:t>事业单位医</w:t>
      </w:r>
    </w:p>
    <w:p>
      <w:pPr>
        <w:pStyle w:val="4"/>
        <w:spacing w:before="5" w:line="350" w:lineRule="auto"/>
        <w:ind w:right="317"/>
        <w:jc w:val="both"/>
      </w:pPr>
      <w:r>
        <w:rPr>
          <w:b/>
          <w:spacing w:val="5"/>
        </w:rPr>
        <w:t>疗（项）：</w:t>
      </w:r>
      <w:r>
        <w:rPr>
          <w:spacing w:val="-13"/>
        </w:rPr>
        <w:t xml:space="preserve">支出决算为 </w:t>
      </w:r>
      <w:r>
        <w:t>3.86</w:t>
      </w:r>
      <w:r>
        <w:rPr>
          <w:spacing w:val="-19"/>
        </w:rPr>
        <w:t xml:space="preserve"> 万元，完成预算 </w:t>
      </w:r>
      <w:r>
        <w:t>75.03%，决算</w:t>
      </w:r>
      <w:r>
        <w:rPr>
          <w:spacing w:val="11"/>
          <w:w w:val="95"/>
        </w:rPr>
        <w:t xml:space="preserve">数小于预算数的主要原因是人员编制未满员，支出相应减 </w:t>
      </w:r>
      <w:r>
        <w:rPr>
          <w:spacing w:val="11"/>
        </w:rPr>
        <w:t>少。</w:t>
      </w:r>
    </w:p>
    <w:p>
      <w:pPr>
        <w:spacing w:before="4" w:line="350" w:lineRule="auto"/>
        <w:ind w:left="140" w:right="311" w:firstLine="640"/>
        <w:jc w:val="both"/>
        <w:rPr>
          <w:sz w:val="32"/>
        </w:rPr>
      </w:pPr>
      <w:r>
        <w:rPr>
          <w:b/>
          <w:spacing w:val="1"/>
          <w:w w:val="98"/>
          <w:sz w:val="32"/>
        </w:rPr>
        <w:t>1</w:t>
      </w:r>
      <w:r>
        <w:rPr>
          <w:b/>
          <w:spacing w:val="3"/>
          <w:w w:val="98"/>
          <w:sz w:val="32"/>
        </w:rPr>
        <w:t>0</w:t>
      </w:r>
      <w:r>
        <w:rPr>
          <w:b/>
          <w:spacing w:val="-2"/>
          <w:w w:val="98"/>
          <w:sz w:val="32"/>
        </w:rPr>
        <w:t>.</w:t>
      </w:r>
      <w:r>
        <w:rPr>
          <w:b/>
          <w:spacing w:val="-33"/>
          <w:w w:val="99"/>
          <w:sz w:val="32"/>
        </w:rPr>
        <w:t>住房保障</w:t>
      </w:r>
      <w:r>
        <w:rPr>
          <w:b/>
          <w:w w:val="99"/>
          <w:sz w:val="32"/>
        </w:rPr>
        <w:t>（</w:t>
      </w:r>
      <w:r>
        <w:rPr>
          <w:b/>
          <w:spacing w:val="5"/>
          <w:w w:val="99"/>
          <w:sz w:val="32"/>
        </w:rPr>
        <w:t>类</w:t>
      </w:r>
      <w:r>
        <w:rPr>
          <w:b/>
          <w:spacing w:val="-137"/>
          <w:w w:val="99"/>
          <w:sz w:val="32"/>
        </w:rPr>
        <w:t>）</w:t>
      </w:r>
      <w:r>
        <w:rPr>
          <w:b/>
          <w:spacing w:val="-21"/>
          <w:w w:val="99"/>
          <w:sz w:val="32"/>
        </w:rPr>
        <w:t>住房改革支出</w:t>
      </w:r>
      <w:r>
        <w:rPr>
          <w:b/>
          <w:w w:val="99"/>
          <w:sz w:val="32"/>
        </w:rPr>
        <w:t>（</w:t>
      </w:r>
      <w:r>
        <w:rPr>
          <w:b/>
          <w:spacing w:val="2"/>
          <w:w w:val="99"/>
          <w:sz w:val="32"/>
        </w:rPr>
        <w:t>款</w:t>
      </w:r>
      <w:r>
        <w:rPr>
          <w:b/>
          <w:spacing w:val="26"/>
          <w:w w:val="99"/>
          <w:sz w:val="32"/>
        </w:rPr>
        <w:t>）</w:t>
      </w:r>
      <w:r>
        <w:rPr>
          <w:b/>
          <w:spacing w:val="-26"/>
          <w:w w:val="99"/>
          <w:sz w:val="32"/>
        </w:rPr>
        <w:t>住房公积金</w:t>
      </w:r>
      <w:r>
        <w:rPr>
          <w:b/>
          <w:spacing w:val="2"/>
          <w:w w:val="99"/>
          <w:sz w:val="32"/>
        </w:rPr>
        <w:t>（项</w:t>
      </w:r>
      <w:r>
        <w:rPr>
          <w:b/>
          <w:spacing w:val="-159"/>
          <w:w w:val="99"/>
          <w:sz w:val="32"/>
        </w:rPr>
        <w:t>）</w:t>
      </w:r>
      <w:r>
        <w:rPr>
          <w:b/>
          <w:w w:val="98"/>
          <w:sz w:val="32"/>
        </w:rPr>
        <w:t>:</w:t>
      </w:r>
      <w:r>
        <w:rPr>
          <w:spacing w:val="-12"/>
          <w:sz w:val="32"/>
        </w:rPr>
        <w:t xml:space="preserve">支出决算为 </w:t>
      </w:r>
      <w:r>
        <w:rPr>
          <w:sz w:val="32"/>
        </w:rPr>
        <w:t>20</w:t>
      </w:r>
      <w:r>
        <w:rPr>
          <w:spacing w:val="-18"/>
          <w:sz w:val="32"/>
        </w:rPr>
        <w:t xml:space="preserve"> 万元，完成预算 </w:t>
      </w:r>
      <w:r>
        <w:rPr>
          <w:sz w:val="32"/>
        </w:rPr>
        <w:t>67.24%，决算数小于预算数的主要原因是人员编制未满员，支出相应减少。</w:t>
      </w:r>
    </w:p>
    <w:p>
      <w:pPr>
        <w:pStyle w:val="4"/>
        <w:spacing w:before="4"/>
        <w:ind w:left="780"/>
        <w:rPr>
          <w:rFonts w:hint="eastAsia" w:ascii="黑体" w:eastAsia="黑体"/>
        </w:rPr>
      </w:pPr>
      <w:bookmarkStart w:id="13" w:name="六、一般公共预算财政拨款基本支出决算情况说明"/>
      <w:bookmarkEnd w:id="13"/>
      <w:r>
        <w:rPr>
          <w:rFonts w:hint="eastAsia" w:ascii="黑体" w:eastAsia="黑体"/>
        </w:rPr>
        <w:t>六</w:t>
      </w:r>
      <w:r>
        <w:rPr>
          <w:rFonts w:hint="eastAsia" w:ascii="黑体" w:eastAsia="黑体"/>
          <w:b/>
        </w:rPr>
        <w:t>、一</w:t>
      </w:r>
      <w:r>
        <w:rPr>
          <w:rFonts w:hint="eastAsia" w:ascii="黑体" w:eastAsia="黑体"/>
        </w:rPr>
        <w:t>般公共预算财政拨款基本支出决算情况说明</w:t>
      </w:r>
    </w:p>
    <w:p>
      <w:pPr>
        <w:pStyle w:val="4"/>
        <w:spacing w:before="190" w:line="350" w:lineRule="auto"/>
        <w:ind w:right="320" w:firstLine="645"/>
      </w:pPr>
      <w:r>
        <w:t>2020</w:t>
      </w:r>
      <w:r>
        <w:rPr>
          <w:spacing w:val="-11"/>
        </w:rPr>
        <w:t xml:space="preserve"> 年一般公共预算财政拨款基本支出 </w:t>
      </w:r>
      <w:r>
        <w:t>483.34</w:t>
      </w:r>
      <w:r>
        <w:rPr>
          <w:spacing w:val="-20"/>
        </w:rPr>
        <w:t xml:space="preserve"> 万元， 其中：</w:t>
      </w:r>
    </w:p>
    <w:p>
      <w:pPr>
        <w:pStyle w:val="4"/>
        <w:spacing w:before="3" w:line="350" w:lineRule="auto"/>
        <w:ind w:right="158" w:firstLine="645"/>
      </w:pPr>
      <w:r>
        <w:rPr>
          <w:spacing w:val="-18"/>
        </w:rPr>
        <w:t xml:space="preserve">人员经费 </w:t>
      </w:r>
      <w:r>
        <w:t>336.3</w:t>
      </w:r>
      <w:r>
        <w:rPr>
          <w:spacing w:val="-18"/>
        </w:rPr>
        <w:t xml:space="preserve"> 万元，主要包括：基本工资、津贴补贴、</w:t>
      </w:r>
      <w:r>
        <w:rPr>
          <w:spacing w:val="-7"/>
        </w:rPr>
        <w:t>奖金、机关事业单位基本养老保险缴费、职业年金缴费、其他工资福利支出、医疗费补助、住房公积金、其他对个人和</w:t>
      </w:r>
      <w:r>
        <w:rPr>
          <w:rFonts w:hint="eastAsia"/>
          <w:spacing w:val="-7"/>
          <w:lang w:val="en-US" w:eastAsia="zh-CN"/>
        </w:rPr>
        <w:t>家</w:t>
      </w:r>
      <w:r>
        <w:t>庭的补助支出等。</w:t>
      </w:r>
    </w:p>
    <w:p>
      <w:pPr>
        <w:pStyle w:val="4"/>
        <w:spacing w:before="190" w:line="350" w:lineRule="auto"/>
        <w:ind w:right="267" w:firstLine="652"/>
        <w:jc w:val="both"/>
      </w:pPr>
      <w:r>
        <w:t>公用经费 147.04 万元，主要包括：办公费、印刷费、</w:t>
      </w:r>
      <w:r>
        <w:rPr>
          <w:w w:val="95"/>
        </w:rPr>
        <w:t>咨询费、水费、电费、邮电费、物业管理费、差旅费、维</w:t>
      </w:r>
      <w:r>
        <w:rPr>
          <w:rFonts w:hint="eastAsia"/>
          <w:w w:val="95"/>
          <w:lang w:val="en-US" w:eastAsia="zh-CN"/>
        </w:rPr>
        <w:t>修</w:t>
      </w:r>
      <w:r>
        <w:rPr>
          <w:w w:val="95"/>
        </w:rPr>
        <w:t>（护</w:t>
      </w:r>
      <w:r>
        <w:rPr>
          <w:spacing w:val="-29"/>
          <w:w w:val="95"/>
        </w:rPr>
        <w:t>）</w:t>
      </w:r>
      <w:r>
        <w:rPr>
          <w:spacing w:val="-13"/>
          <w:w w:val="95"/>
        </w:rPr>
        <w:t xml:space="preserve">费、租赁费、会议费、培训费、公务接待费、劳务费、 </w:t>
      </w:r>
      <w:r>
        <w:rPr>
          <w:spacing w:val="-8"/>
        </w:rPr>
        <w:t>工会经费、福利费、公务用车运行维护费、其他交通费、其他商品和服务支出等。</w:t>
      </w:r>
    </w:p>
    <w:p>
      <w:pPr>
        <w:pStyle w:val="4"/>
        <w:spacing w:before="4"/>
        <w:ind w:left="780"/>
        <w:rPr>
          <w:rFonts w:hint="eastAsia" w:ascii="黑体" w:hAnsi="黑体" w:eastAsia="黑体"/>
        </w:rPr>
      </w:pPr>
      <w:bookmarkStart w:id="14" w:name="七、“三公”经费财政拨款支出决算情况说明"/>
      <w:bookmarkEnd w:id="14"/>
      <w:r>
        <w:rPr>
          <w:rFonts w:hint="eastAsia" w:ascii="黑体" w:hAnsi="黑体" w:eastAsia="黑体"/>
        </w:rPr>
        <w:t>七、</w:t>
      </w:r>
      <w:r>
        <w:rPr>
          <w:rFonts w:hint="eastAsia" w:ascii="黑体" w:hAnsi="黑体" w:eastAsia="黑体"/>
          <w:b/>
        </w:rPr>
        <w:t>“</w:t>
      </w:r>
      <w:r>
        <w:rPr>
          <w:rFonts w:hint="eastAsia" w:ascii="黑体" w:hAnsi="黑体" w:eastAsia="黑体"/>
        </w:rPr>
        <w:t>三公”经费财政拨款支出决算情况说明</w:t>
      </w:r>
    </w:p>
    <w:p>
      <w:pPr>
        <w:spacing w:before="190" w:line="350" w:lineRule="auto"/>
        <w:ind w:left="780" w:right="224" w:firstLine="0"/>
        <w:jc w:val="left"/>
        <w:rPr>
          <w:sz w:val="32"/>
        </w:rPr>
      </w:pPr>
      <w:bookmarkStart w:id="15" w:name="（一）“三公”经费财政拨款支出决算总体情况说明"/>
      <w:bookmarkEnd w:id="15"/>
      <w:r>
        <w:rPr>
          <w:b/>
          <w:sz w:val="32"/>
        </w:rPr>
        <w:t>（一）“三公”经费财政拨款支出决算总体情况说明</w:t>
      </w:r>
      <w:r>
        <w:rPr>
          <w:sz w:val="32"/>
        </w:rPr>
        <w:t>2020</w:t>
      </w:r>
      <w:r>
        <w:rPr>
          <w:spacing w:val="-15"/>
          <w:sz w:val="32"/>
        </w:rPr>
        <w:t xml:space="preserve"> 年“三公”经费财政拨款支出决算为 </w:t>
      </w:r>
      <w:r>
        <w:rPr>
          <w:sz w:val="32"/>
        </w:rPr>
        <w:t>29.06</w:t>
      </w:r>
      <w:r>
        <w:rPr>
          <w:spacing w:val="-21"/>
          <w:sz w:val="32"/>
        </w:rPr>
        <w:t xml:space="preserve"> 万元，</w:t>
      </w:r>
    </w:p>
    <w:p>
      <w:pPr>
        <w:pStyle w:val="4"/>
        <w:spacing w:before="2" w:line="350" w:lineRule="auto"/>
        <w:ind w:right="320"/>
      </w:pPr>
      <w:r>
        <w:t>完成预算 69.19%，决算数小于预算数的主要原因是厉行节约，压缩三公经费支出。</w:t>
      </w:r>
    </w:p>
    <w:p>
      <w:pPr>
        <w:spacing w:before="3" w:line="350" w:lineRule="auto"/>
        <w:ind w:left="780" w:right="158" w:firstLine="0"/>
        <w:jc w:val="left"/>
        <w:rPr>
          <w:sz w:val="32"/>
        </w:rPr>
      </w:pPr>
      <w:bookmarkStart w:id="16" w:name="（二）“三公”经费财政拨款支出决算具体情况说明"/>
      <w:bookmarkEnd w:id="16"/>
      <w:r>
        <w:rPr>
          <w:b/>
          <w:sz w:val="32"/>
        </w:rPr>
        <w:t>（二）“三公”经费财政拨款支出决算具体情况说明</w:t>
      </w:r>
      <w:r>
        <w:rPr>
          <w:sz w:val="32"/>
        </w:rPr>
        <w:t>2020</w:t>
      </w:r>
      <w:r>
        <w:rPr>
          <w:spacing w:val="-35"/>
          <w:sz w:val="32"/>
        </w:rPr>
        <w:t xml:space="preserve"> 年“三公”经费财政拨款支出决算中，因公出国</w:t>
      </w:r>
      <w:r>
        <w:rPr>
          <w:spacing w:val="-3"/>
          <w:sz w:val="32"/>
        </w:rPr>
        <w:t>（</w:t>
      </w:r>
      <w:r>
        <w:rPr>
          <w:sz w:val="32"/>
        </w:rPr>
        <w:t>境）</w:t>
      </w:r>
    </w:p>
    <w:p>
      <w:pPr>
        <w:pStyle w:val="4"/>
        <w:spacing w:before="3" w:line="350" w:lineRule="auto"/>
        <w:ind w:right="320"/>
        <w:jc w:val="both"/>
      </w:pPr>
      <w:r>
        <w:rPr>
          <w:spacing w:val="-14"/>
        </w:rPr>
        <w:t xml:space="preserve">费支出决算 </w:t>
      </w:r>
      <w:r>
        <w:t>0</w:t>
      </w:r>
      <w:r>
        <w:rPr>
          <w:spacing w:val="-37"/>
        </w:rPr>
        <w:t xml:space="preserve"> 万元，占 </w:t>
      </w:r>
      <w:r>
        <w:rPr>
          <w:spacing w:val="-16"/>
        </w:rPr>
        <w:t>0</w:t>
      </w:r>
      <w:r>
        <w:rPr>
          <w:spacing w:val="-6"/>
        </w:rPr>
        <w:t>%；公务用车购置及运行维护费支出</w:t>
      </w:r>
      <w:r>
        <w:rPr>
          <w:spacing w:val="-32"/>
        </w:rPr>
        <w:t xml:space="preserve">决算 </w:t>
      </w:r>
      <w:r>
        <w:t>10.54</w:t>
      </w:r>
      <w:r>
        <w:rPr>
          <w:spacing w:val="-37"/>
        </w:rPr>
        <w:t xml:space="preserve"> 万元，占 </w:t>
      </w:r>
      <w:r>
        <w:rPr>
          <w:spacing w:val="-7"/>
        </w:rPr>
        <w:t>36.27</w:t>
      </w:r>
      <w:r>
        <w:rPr>
          <w:spacing w:val="-11"/>
        </w:rPr>
        <w:t xml:space="preserve">%；公务接待费支出决算 </w:t>
      </w:r>
      <w:r>
        <w:t>18.52</w:t>
      </w:r>
      <w:r>
        <w:rPr>
          <w:spacing w:val="-43"/>
        </w:rPr>
        <w:t xml:space="preserve"> 万</w:t>
      </w:r>
      <w:r>
        <w:rPr>
          <w:spacing w:val="-53"/>
        </w:rPr>
        <w:t xml:space="preserve">元，占 </w:t>
      </w:r>
      <w:r>
        <w:t>63.73%。具体情况如下：</w:t>
      </w:r>
    </w:p>
    <w:p>
      <w:pPr>
        <w:pStyle w:val="4"/>
        <w:spacing w:before="4"/>
        <w:ind w:left="780"/>
        <w:jc w:val="both"/>
      </w:pPr>
      <w:r>
        <w:drawing>
          <wp:anchor distT="0" distB="0" distL="0" distR="0" simplePos="0" relativeHeight="251660288" behindDoc="0" locked="0" layoutInCell="1" allowOverlap="1">
            <wp:simplePos x="0" y="0"/>
            <wp:positionH relativeFrom="page">
              <wp:posOffset>1390015</wp:posOffset>
            </wp:positionH>
            <wp:positionV relativeFrom="paragraph">
              <wp:posOffset>294640</wp:posOffset>
            </wp:positionV>
            <wp:extent cx="4653280" cy="209677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6" cstate="print"/>
                    <a:stretch>
                      <a:fillRect/>
                    </a:stretch>
                  </pic:blipFill>
                  <pic:spPr>
                    <a:xfrm>
                      <a:off x="0" y="0"/>
                      <a:ext cx="4653002" cy="2097024"/>
                    </a:xfrm>
                    <a:prstGeom prst="rect">
                      <a:avLst/>
                    </a:prstGeom>
                  </pic:spPr>
                </pic:pic>
              </a:graphicData>
            </a:graphic>
          </wp:anchor>
        </w:drawing>
      </w:r>
      <w:r>
        <w:t>（图 7：“三公”经费财政拨款支出结构）（饼状图）</w:t>
      </w:r>
    </w:p>
    <w:p>
      <w:pPr>
        <w:spacing w:after="0"/>
        <w:jc w:val="both"/>
        <w:sectPr>
          <w:footerReference r:id="rId7" w:type="default"/>
          <w:footerReference r:id="rId8" w:type="even"/>
          <w:pgSz w:w="11910" w:h="16840"/>
          <w:pgMar w:top="1540" w:right="1480" w:bottom="1380" w:left="1660" w:header="0" w:footer="1191" w:gutter="0"/>
          <w:cols w:space="720" w:num="1"/>
        </w:sectPr>
      </w:pPr>
    </w:p>
    <w:p>
      <w:pPr>
        <w:pStyle w:val="9"/>
        <w:numPr>
          <w:ilvl w:val="0"/>
          <w:numId w:val="4"/>
        </w:numPr>
        <w:tabs>
          <w:tab w:val="left" w:pos="1103"/>
        </w:tabs>
        <w:spacing w:before="43" w:after="0" w:line="350" w:lineRule="auto"/>
        <w:ind w:left="140" w:right="315" w:firstLine="640"/>
        <w:jc w:val="both"/>
        <w:rPr>
          <w:sz w:val="32"/>
        </w:rPr>
      </w:pPr>
      <w:r>
        <w:rPr>
          <w:b/>
          <w:spacing w:val="-7"/>
          <w:sz w:val="32"/>
        </w:rPr>
        <w:t>因公出国</w:t>
      </w:r>
      <w:r>
        <w:rPr>
          <w:b/>
          <w:sz w:val="32"/>
        </w:rPr>
        <w:t>（境</w:t>
      </w:r>
      <w:r>
        <w:rPr>
          <w:b/>
          <w:spacing w:val="-27"/>
          <w:sz w:val="32"/>
        </w:rPr>
        <w:t>）</w:t>
      </w:r>
      <w:r>
        <w:rPr>
          <w:b/>
          <w:spacing w:val="-17"/>
          <w:sz w:val="32"/>
        </w:rPr>
        <w:t xml:space="preserve">经费支出 </w:t>
      </w:r>
      <w:r>
        <w:rPr>
          <w:sz w:val="32"/>
        </w:rPr>
        <w:t>0</w:t>
      </w:r>
      <w:r>
        <w:rPr>
          <w:spacing w:val="-24"/>
          <w:sz w:val="32"/>
        </w:rPr>
        <w:t xml:space="preserve"> 万元，完成预算 </w:t>
      </w:r>
      <w:r>
        <w:rPr>
          <w:sz w:val="32"/>
        </w:rPr>
        <w:t>0</w:t>
      </w:r>
      <w:r>
        <w:rPr>
          <w:spacing w:val="-8"/>
          <w:sz w:val="32"/>
        </w:rPr>
        <w:t>%。全年</w:t>
      </w:r>
      <w:r>
        <w:rPr>
          <w:sz w:val="32"/>
        </w:rPr>
        <w:t>安排因公出国（境</w:t>
      </w:r>
      <w:r>
        <w:rPr>
          <w:spacing w:val="5"/>
          <w:sz w:val="32"/>
        </w:rPr>
        <w:t>）</w:t>
      </w:r>
      <w:r>
        <w:rPr>
          <w:spacing w:val="-26"/>
          <w:sz w:val="32"/>
        </w:rPr>
        <w:t xml:space="preserve">团组 </w:t>
      </w:r>
      <w:r>
        <w:rPr>
          <w:sz w:val="32"/>
        </w:rPr>
        <w:t>0</w:t>
      </w:r>
      <w:r>
        <w:rPr>
          <w:spacing w:val="-15"/>
          <w:sz w:val="32"/>
        </w:rPr>
        <w:t xml:space="preserve"> 次，出国</w:t>
      </w:r>
      <w:r>
        <w:rPr>
          <w:sz w:val="32"/>
        </w:rPr>
        <w:t>（</w:t>
      </w:r>
      <w:r>
        <w:rPr>
          <w:spacing w:val="5"/>
          <w:sz w:val="32"/>
        </w:rPr>
        <w:t>境</w:t>
      </w:r>
      <w:r>
        <w:rPr>
          <w:sz w:val="32"/>
        </w:rPr>
        <w:t>）0</w:t>
      </w:r>
      <w:r>
        <w:rPr>
          <w:spacing w:val="-12"/>
          <w:sz w:val="32"/>
        </w:rPr>
        <w:t xml:space="preserve"> 人。因公出国</w:t>
      </w:r>
    </w:p>
    <w:p>
      <w:pPr>
        <w:pStyle w:val="4"/>
        <w:spacing w:before="3"/>
        <w:jc w:val="both"/>
      </w:pPr>
      <w:r>
        <w:t>（境）支出决算比 2019 年减少 6.84 万元，下降 100%。</w:t>
      </w:r>
    </w:p>
    <w:p>
      <w:pPr>
        <w:pStyle w:val="9"/>
        <w:numPr>
          <w:ilvl w:val="0"/>
          <w:numId w:val="4"/>
        </w:numPr>
        <w:tabs>
          <w:tab w:val="left" w:pos="1108"/>
        </w:tabs>
        <w:spacing w:before="190" w:after="0" w:line="350" w:lineRule="auto"/>
        <w:ind w:left="140" w:right="315" w:firstLine="640"/>
        <w:jc w:val="both"/>
        <w:rPr>
          <w:sz w:val="32"/>
        </w:rPr>
      </w:pPr>
      <w:r>
        <w:rPr>
          <w:b/>
          <w:spacing w:val="-1"/>
          <w:sz w:val="32"/>
        </w:rPr>
        <w:t xml:space="preserve">公务用车购置及运行维护费支出 </w:t>
      </w:r>
      <w:r>
        <w:rPr>
          <w:sz w:val="32"/>
        </w:rPr>
        <w:t>10.54</w:t>
      </w:r>
      <w:r>
        <w:rPr>
          <w:spacing w:val="-10"/>
          <w:sz w:val="32"/>
        </w:rPr>
        <w:t xml:space="preserve"> 万元,完成预</w:t>
      </w:r>
      <w:r>
        <w:rPr>
          <w:spacing w:val="-45"/>
          <w:sz w:val="32"/>
        </w:rPr>
        <w:t xml:space="preserve">算 </w:t>
      </w:r>
      <w:r>
        <w:rPr>
          <w:sz w:val="32"/>
        </w:rPr>
        <w:t>70.27</w:t>
      </w:r>
      <w:r>
        <w:rPr>
          <w:spacing w:val="-4"/>
          <w:sz w:val="32"/>
        </w:rPr>
        <w:t xml:space="preserve">%。公务用车购置及运行维护费支出决算比 </w:t>
      </w:r>
      <w:r>
        <w:rPr>
          <w:sz w:val="32"/>
        </w:rPr>
        <w:t>2019</w:t>
      </w:r>
      <w:r>
        <w:rPr>
          <w:spacing w:val="-41"/>
          <w:sz w:val="32"/>
        </w:rPr>
        <w:t xml:space="preserve"> 年</w:t>
      </w:r>
      <w:r>
        <w:rPr>
          <w:spacing w:val="-55"/>
          <w:sz w:val="32"/>
        </w:rPr>
        <w:t xml:space="preserve">减少 </w:t>
      </w:r>
      <w:r>
        <w:rPr>
          <w:sz w:val="32"/>
        </w:rPr>
        <w:t>8.25</w:t>
      </w:r>
      <w:r>
        <w:rPr>
          <w:spacing w:val="-33"/>
          <w:sz w:val="32"/>
        </w:rPr>
        <w:t xml:space="preserve"> 万元，下降 </w:t>
      </w:r>
      <w:r>
        <w:rPr>
          <w:sz w:val="32"/>
        </w:rPr>
        <w:t>43.91</w:t>
      </w:r>
      <w:r>
        <w:rPr>
          <w:spacing w:val="-18"/>
          <w:sz w:val="32"/>
        </w:rPr>
        <w:t xml:space="preserve">%。主要原因是 </w:t>
      </w:r>
      <w:r>
        <w:rPr>
          <w:sz w:val="32"/>
        </w:rPr>
        <w:t>2020</w:t>
      </w:r>
      <w:r>
        <w:rPr>
          <w:spacing w:val="-15"/>
          <w:sz w:val="32"/>
        </w:rPr>
        <w:t xml:space="preserve"> 年没有产生车辆大修支出。</w:t>
      </w:r>
    </w:p>
    <w:p>
      <w:pPr>
        <w:spacing w:before="5"/>
        <w:ind w:left="780" w:right="0" w:firstLine="0"/>
        <w:jc w:val="both"/>
        <w:rPr>
          <w:sz w:val="32"/>
        </w:rPr>
      </w:pPr>
      <w:r>
        <w:rPr>
          <w:sz w:val="32"/>
        </w:rPr>
        <w:t>其中：</w:t>
      </w:r>
      <w:r>
        <w:rPr>
          <w:b/>
          <w:sz w:val="32"/>
        </w:rPr>
        <w:t xml:space="preserve">公务用车购置支出 </w:t>
      </w:r>
      <w:r>
        <w:rPr>
          <w:sz w:val="32"/>
        </w:rPr>
        <w:t>0 万元。全年按规定更新购置</w:t>
      </w:r>
    </w:p>
    <w:p>
      <w:pPr>
        <w:pStyle w:val="4"/>
        <w:spacing w:before="190"/>
      </w:pPr>
      <w:r>
        <w:rPr>
          <w:spacing w:val="-17"/>
        </w:rPr>
        <w:t xml:space="preserve">公务用车 </w:t>
      </w:r>
      <w:r>
        <w:t>1</w:t>
      </w:r>
      <w:r>
        <w:rPr>
          <w:spacing w:val="-70"/>
        </w:rPr>
        <w:t xml:space="preserve"> 辆</w:t>
      </w:r>
      <w:r>
        <w:t>（</w:t>
      </w:r>
      <w:r>
        <w:rPr>
          <w:spacing w:val="-12"/>
        </w:rPr>
        <w:t xml:space="preserve">上级部门调拨 </w:t>
      </w:r>
      <w:r>
        <w:t>1</w:t>
      </w:r>
      <w:r>
        <w:rPr>
          <w:spacing w:val="-41"/>
        </w:rPr>
        <w:t xml:space="preserve"> 辆</w:t>
      </w:r>
      <w:r>
        <w:rPr>
          <w:spacing w:val="-58"/>
        </w:rPr>
        <w:t>）</w:t>
      </w:r>
      <w:r>
        <w:rPr>
          <w:spacing w:val="-35"/>
        </w:rPr>
        <w:t xml:space="preserve">。截至 </w:t>
      </w:r>
      <w:r>
        <w:t>2020</w:t>
      </w:r>
      <w:r>
        <w:rPr>
          <w:spacing w:val="-54"/>
        </w:rPr>
        <w:t xml:space="preserve"> 年 </w:t>
      </w:r>
      <w:r>
        <w:t>12</w:t>
      </w:r>
      <w:r>
        <w:rPr>
          <w:spacing w:val="-21"/>
        </w:rPr>
        <w:t xml:space="preserve"> 月底，</w:t>
      </w:r>
    </w:p>
    <w:p>
      <w:pPr>
        <w:pStyle w:val="4"/>
        <w:spacing w:before="190"/>
      </w:pPr>
      <w:r>
        <w:rPr>
          <w:spacing w:val="-10"/>
        </w:rPr>
        <w:t xml:space="preserve">单位共有公务用车 </w:t>
      </w:r>
      <w:r>
        <w:t>5</w:t>
      </w:r>
      <w:r>
        <w:rPr>
          <w:spacing w:val="-21"/>
        </w:rPr>
        <w:t xml:space="preserve"> 辆，其中：轿车 </w:t>
      </w:r>
      <w:r>
        <w:t>1</w:t>
      </w:r>
      <w:r>
        <w:rPr>
          <w:spacing w:val="-25"/>
        </w:rPr>
        <w:t xml:space="preserve"> 辆、商务车 </w:t>
      </w:r>
      <w:r>
        <w:t>3</w:t>
      </w:r>
      <w:r>
        <w:rPr>
          <w:spacing w:val="-42"/>
        </w:rPr>
        <w:t xml:space="preserve"> 辆</w:t>
      </w:r>
      <w:r>
        <w:t>（其</w:t>
      </w:r>
    </w:p>
    <w:p>
      <w:pPr>
        <w:pStyle w:val="4"/>
        <w:spacing w:before="190"/>
      </w:pPr>
      <w:r>
        <w:t>中 1 辆封存待处置）、载客汽车 1 辆。</w:t>
      </w:r>
    </w:p>
    <w:p>
      <w:pPr>
        <w:pStyle w:val="4"/>
        <w:spacing w:before="190" w:line="350" w:lineRule="auto"/>
        <w:ind w:right="290" w:firstLine="640"/>
        <w:jc w:val="both"/>
      </w:pPr>
      <w:r>
        <w:rPr>
          <w:b/>
          <w:spacing w:val="-8"/>
        </w:rPr>
        <w:t xml:space="preserve">公务用车运行维护费支出 </w:t>
      </w:r>
      <w:r>
        <w:t>10.54</w:t>
      </w:r>
      <w:r>
        <w:rPr>
          <w:spacing w:val="-10"/>
        </w:rPr>
        <w:t xml:space="preserve"> 万元。主要用于政务、</w:t>
      </w:r>
      <w:r>
        <w:rPr>
          <w:spacing w:val="-7"/>
        </w:rPr>
        <w:t>商务接待，走访慰问，处理农民工等突发事件，周边出差派</w:t>
      </w:r>
      <w:r>
        <w:rPr>
          <w:spacing w:val="-4"/>
        </w:rPr>
        <w:t>车，机要、重要的文件或物资的送取等所需的公务用车燃料费、维修费、过路过桥费、保险费等支出。</w:t>
      </w:r>
    </w:p>
    <w:p>
      <w:pPr>
        <w:pStyle w:val="9"/>
        <w:numPr>
          <w:ilvl w:val="0"/>
          <w:numId w:val="4"/>
        </w:numPr>
        <w:tabs>
          <w:tab w:val="left" w:pos="1103"/>
        </w:tabs>
        <w:spacing w:before="6" w:after="0" w:line="350" w:lineRule="auto"/>
        <w:ind w:left="140" w:right="317" w:firstLine="640"/>
        <w:jc w:val="both"/>
        <w:rPr>
          <w:sz w:val="32"/>
        </w:rPr>
      </w:pPr>
      <w:r>
        <w:rPr>
          <w:b/>
          <w:spacing w:val="-11"/>
          <w:sz w:val="32"/>
        </w:rPr>
        <w:t xml:space="preserve">公务接待费支出 </w:t>
      </w:r>
      <w:r>
        <w:rPr>
          <w:sz w:val="32"/>
        </w:rPr>
        <w:t>18.52</w:t>
      </w:r>
      <w:r>
        <w:rPr>
          <w:spacing w:val="-27"/>
          <w:sz w:val="32"/>
        </w:rPr>
        <w:t xml:space="preserve"> 万元，完成预算 </w:t>
      </w:r>
      <w:r>
        <w:rPr>
          <w:sz w:val="32"/>
        </w:rPr>
        <w:t>68.59</w:t>
      </w:r>
      <w:r>
        <w:rPr>
          <w:spacing w:val="-14"/>
          <w:sz w:val="32"/>
        </w:rPr>
        <w:t>%。公务</w:t>
      </w:r>
      <w:r>
        <w:rPr>
          <w:spacing w:val="-8"/>
          <w:sz w:val="32"/>
        </w:rPr>
        <w:t xml:space="preserve">接待费支出决算比 </w:t>
      </w:r>
      <w:r>
        <w:rPr>
          <w:sz w:val="32"/>
        </w:rPr>
        <w:t>2019</w:t>
      </w:r>
      <w:r>
        <w:rPr>
          <w:spacing w:val="-32"/>
          <w:sz w:val="32"/>
        </w:rPr>
        <w:t xml:space="preserve"> 年减少 </w:t>
      </w:r>
      <w:r>
        <w:rPr>
          <w:sz w:val="32"/>
        </w:rPr>
        <w:t>5.7</w:t>
      </w:r>
      <w:r>
        <w:rPr>
          <w:spacing w:val="-23"/>
          <w:sz w:val="32"/>
        </w:rPr>
        <w:t xml:space="preserve"> 万元，下降 </w:t>
      </w:r>
      <w:r>
        <w:rPr>
          <w:sz w:val="32"/>
        </w:rPr>
        <w:t>23.53</w:t>
      </w:r>
      <w:r>
        <w:rPr>
          <w:spacing w:val="1"/>
          <w:sz w:val="32"/>
        </w:rPr>
        <w:t>%。主要原因是厉行节约，减少政务、商务接待。其中：</w:t>
      </w:r>
    </w:p>
    <w:p>
      <w:pPr>
        <w:pStyle w:val="4"/>
        <w:spacing w:before="4" w:line="350" w:lineRule="auto"/>
        <w:ind w:right="305" w:firstLine="640"/>
        <w:jc w:val="both"/>
      </w:pPr>
      <w:r>
        <w:rPr>
          <w:b/>
          <w:spacing w:val="-10"/>
        </w:rPr>
        <w:t xml:space="preserve">国内公务接待支出 </w:t>
      </w:r>
      <w:r>
        <w:t>18.52</w:t>
      </w:r>
      <w:r>
        <w:rPr>
          <w:spacing w:val="-11"/>
        </w:rPr>
        <w:t xml:space="preserve"> 万元，主要用于开展投资促进活动、执行公务、开展业务活动等开支的交通费、住宿费、</w:t>
      </w:r>
      <w:r>
        <w:rPr>
          <w:spacing w:val="-21"/>
        </w:rPr>
        <w:t>用餐费等。国内公务</w:t>
      </w:r>
      <w:r>
        <w:t>（商务</w:t>
      </w:r>
      <w:r>
        <w:rPr>
          <w:spacing w:val="-67"/>
        </w:rPr>
        <w:t>）</w:t>
      </w:r>
      <w:r>
        <w:rPr>
          <w:spacing w:val="-28"/>
        </w:rPr>
        <w:t xml:space="preserve">接待 </w:t>
      </w:r>
      <w:r>
        <w:t>86</w:t>
      </w:r>
      <w:r>
        <w:rPr>
          <w:spacing w:val="-40"/>
        </w:rPr>
        <w:t xml:space="preserve"> 批次，约 </w:t>
      </w:r>
      <w:r>
        <w:t>1020</w:t>
      </w:r>
      <w:r>
        <w:rPr>
          <w:spacing w:val="-50"/>
        </w:rPr>
        <w:t xml:space="preserve"> 人次</w:t>
      </w:r>
      <w:r>
        <w:t>（不</w:t>
      </w:r>
    </w:p>
    <w:p>
      <w:pPr>
        <w:pStyle w:val="4"/>
        <w:spacing w:before="4" w:line="350" w:lineRule="auto"/>
        <w:ind w:right="316"/>
        <w:jc w:val="both"/>
      </w:pPr>
      <w:r>
        <w:t>包括陪同人员</w:t>
      </w:r>
      <w:r>
        <w:rPr>
          <w:spacing w:val="-83"/>
        </w:rPr>
        <w:t>）</w:t>
      </w:r>
      <w:r>
        <w:rPr>
          <w:spacing w:val="-29"/>
        </w:rPr>
        <w:t xml:space="preserve">，共计支出 </w:t>
      </w:r>
      <w:r>
        <w:t>18.52</w:t>
      </w:r>
      <w:r>
        <w:rPr>
          <w:spacing w:val="-19"/>
        </w:rPr>
        <w:t xml:space="preserve"> 万元，具体内容包括：</w:t>
      </w:r>
      <w:r>
        <w:rPr>
          <w:spacing w:val="-17"/>
        </w:rPr>
        <w:t xml:space="preserve">2020 </w:t>
      </w:r>
      <w:r>
        <w:rPr>
          <w:spacing w:val="-2"/>
          <w:w w:val="95"/>
        </w:rPr>
        <w:t>知名企业四川行、厦门国际投资洽谈会、侨商协会会长交流</w:t>
      </w:r>
    </w:p>
    <w:p>
      <w:pPr>
        <w:spacing w:after="0" w:line="350" w:lineRule="auto"/>
        <w:jc w:val="both"/>
        <w:sectPr>
          <w:pgSz w:w="11910" w:h="16840"/>
          <w:pgMar w:top="1540" w:right="1480" w:bottom="1380" w:left="1660" w:header="0" w:footer="1191" w:gutter="0"/>
          <w:cols w:space="720" w:num="1"/>
        </w:sectPr>
      </w:pPr>
    </w:p>
    <w:p>
      <w:pPr>
        <w:pStyle w:val="4"/>
        <w:spacing w:before="43" w:line="350" w:lineRule="auto"/>
        <w:ind w:right="305"/>
        <w:jc w:val="both"/>
      </w:pPr>
      <w:r>
        <w:t>会、川商发展大会、川商返乡投资项目推介会等系列重大投资促进活动，以及日常开展投资促进工作、劳务接待工作、信息调研工作等产生的接待费。</w:t>
      </w:r>
    </w:p>
    <w:p>
      <w:pPr>
        <w:pStyle w:val="4"/>
        <w:spacing w:before="4"/>
        <w:ind w:left="780"/>
        <w:rPr>
          <w:rFonts w:hint="eastAsia" w:ascii="黑体" w:eastAsia="黑体"/>
        </w:rPr>
      </w:pPr>
      <w:bookmarkStart w:id="17" w:name="八、政府性基金预算支出决算情况说明"/>
      <w:bookmarkEnd w:id="17"/>
      <w:r>
        <w:rPr>
          <w:rFonts w:hint="eastAsia" w:ascii="黑体" w:eastAsia="黑体"/>
        </w:rPr>
        <w:t>八、政府性基金预算支出决算情况说明</w:t>
      </w:r>
    </w:p>
    <w:p>
      <w:pPr>
        <w:pStyle w:val="4"/>
        <w:spacing w:before="190"/>
        <w:ind w:left="780"/>
      </w:pPr>
      <w:r>
        <w:t>2020 年政府性基金预算财政拨款支出 0 万元。</w:t>
      </w:r>
    </w:p>
    <w:p>
      <w:pPr>
        <w:pStyle w:val="4"/>
        <w:spacing w:before="190"/>
        <w:ind w:left="780"/>
        <w:rPr>
          <w:rFonts w:hint="eastAsia" w:ascii="黑体" w:eastAsia="黑体"/>
        </w:rPr>
      </w:pPr>
      <w:r>
        <w:rPr>
          <w:rFonts w:hint="eastAsia" w:ascii="黑体" w:eastAsia="黑体"/>
        </w:rPr>
        <w:t>九、国有资本经营预算支出决算情况说明</w:t>
      </w:r>
    </w:p>
    <w:p>
      <w:pPr>
        <w:pStyle w:val="4"/>
        <w:spacing w:before="190"/>
        <w:ind w:left="780"/>
      </w:pPr>
      <w:r>
        <w:t>2020 年国有资本经营预算财政拨款支出 0 万元。</w:t>
      </w:r>
    </w:p>
    <w:p>
      <w:pPr>
        <w:pStyle w:val="4"/>
        <w:spacing w:before="190"/>
        <w:ind w:left="780"/>
        <w:rPr>
          <w:rFonts w:hint="eastAsia" w:ascii="黑体" w:eastAsia="黑体"/>
        </w:rPr>
      </w:pPr>
      <w:r>
        <w:rPr>
          <w:rFonts w:hint="eastAsia" w:ascii="黑体" w:eastAsia="黑体"/>
          <w:w w:val="95"/>
        </w:rPr>
        <w:t>十、其他重要事项的情况说明</w:t>
      </w:r>
    </w:p>
    <w:p>
      <w:pPr>
        <w:pStyle w:val="3"/>
        <w:spacing w:before="190"/>
        <w:ind w:firstLine="0"/>
      </w:pPr>
      <w:bookmarkStart w:id="18" w:name="（一）机关运行经费支出情况"/>
      <w:bookmarkEnd w:id="18"/>
      <w:r>
        <w:rPr>
          <w:w w:val="95"/>
        </w:rPr>
        <w:t>（一）机关运行经费支出情况</w:t>
      </w:r>
    </w:p>
    <w:p>
      <w:pPr>
        <w:pStyle w:val="4"/>
        <w:spacing w:before="190"/>
        <w:ind w:left="780"/>
      </w:pPr>
      <w:r>
        <w:t>2020 年，四川驻厦办机关运行经费支出 147.04 万元，</w:t>
      </w:r>
    </w:p>
    <w:p>
      <w:pPr>
        <w:pStyle w:val="4"/>
        <w:spacing w:before="190" w:line="350" w:lineRule="auto"/>
        <w:ind w:right="320"/>
      </w:pPr>
      <w:r>
        <w:rPr>
          <w:spacing w:val="-40"/>
        </w:rPr>
        <w:t xml:space="preserve">比 </w:t>
      </w:r>
      <w:r>
        <w:t>2019</w:t>
      </w:r>
      <w:r>
        <w:rPr>
          <w:spacing w:val="-31"/>
        </w:rPr>
        <w:t xml:space="preserve"> 年减少 </w:t>
      </w:r>
      <w:r>
        <w:t>25.49</w:t>
      </w:r>
      <w:r>
        <w:rPr>
          <w:spacing w:val="-22"/>
        </w:rPr>
        <w:t xml:space="preserve"> 万元，下降 </w:t>
      </w:r>
      <w:r>
        <w:t>14.77%。主要原因是受疫情影响部分会议安排取消或缩小规模，出差减少等。</w:t>
      </w:r>
    </w:p>
    <w:p>
      <w:pPr>
        <w:pStyle w:val="3"/>
        <w:spacing w:before="3"/>
        <w:ind w:firstLine="0"/>
      </w:pPr>
      <w:bookmarkStart w:id="19" w:name="（二）政府采购支出情况"/>
      <w:bookmarkEnd w:id="19"/>
      <w:r>
        <w:t>（二）政府采购支出情况</w:t>
      </w:r>
    </w:p>
    <w:p>
      <w:pPr>
        <w:pStyle w:val="4"/>
        <w:spacing w:before="190"/>
        <w:ind w:left="780"/>
      </w:pPr>
      <w:r>
        <w:t>2020</w:t>
      </w:r>
      <w:r>
        <w:rPr>
          <w:spacing w:val="-11"/>
        </w:rPr>
        <w:t xml:space="preserve"> 年，四川驻厦办政府采购支出总额 </w:t>
      </w:r>
      <w:r>
        <w:t>9.11</w:t>
      </w:r>
      <w:r>
        <w:rPr>
          <w:spacing w:val="-16"/>
        </w:rPr>
        <w:t xml:space="preserve"> 万元，其</w:t>
      </w:r>
    </w:p>
    <w:p>
      <w:pPr>
        <w:pStyle w:val="4"/>
        <w:spacing w:before="190"/>
        <w:jc w:val="both"/>
      </w:pPr>
      <w:r>
        <w:t>中：政府采购货物支出 4.89</w:t>
      </w:r>
      <w:r>
        <w:rPr>
          <w:spacing w:val="-6"/>
        </w:rPr>
        <w:t xml:space="preserve"> 万元、政府采购工程支出 </w:t>
      </w:r>
      <w:r>
        <w:t>2.6</w:t>
      </w:r>
    </w:p>
    <w:p>
      <w:pPr>
        <w:pStyle w:val="4"/>
        <w:spacing w:before="190" w:line="350" w:lineRule="auto"/>
        <w:ind w:right="320"/>
        <w:jc w:val="both"/>
      </w:pPr>
      <w:r>
        <w:rPr>
          <w:spacing w:val="-2"/>
        </w:rPr>
        <w:t xml:space="preserve">万元、政府采购服务支出 </w:t>
      </w:r>
      <w:r>
        <w:t>1.61</w:t>
      </w:r>
      <w:r>
        <w:rPr>
          <w:spacing w:val="-4"/>
        </w:rPr>
        <w:t xml:space="preserve"> 万元。主要用于车辆维修保</w:t>
      </w:r>
      <w:r>
        <w:rPr>
          <w:spacing w:val="-5"/>
          <w:w w:val="95"/>
        </w:rPr>
        <w:t xml:space="preserve">养、燃油费、保险费以及空调工会等支出。授予中小企业合 </w:t>
      </w:r>
      <w:r>
        <w:rPr>
          <w:spacing w:val="-19"/>
        </w:rPr>
        <w:t xml:space="preserve">同金额 </w:t>
      </w:r>
      <w:r>
        <w:t>4.2</w:t>
      </w:r>
      <w:r>
        <w:rPr>
          <w:spacing w:val="-12"/>
        </w:rPr>
        <w:t xml:space="preserve"> 万元，占政府采购支出总额的 </w:t>
      </w:r>
      <w:r>
        <w:t>46.1%，其中：授</w:t>
      </w:r>
      <w:r>
        <w:rPr>
          <w:spacing w:val="16"/>
        </w:rPr>
        <w:t xml:space="preserve">予小微企业合同金额 </w:t>
      </w:r>
      <w:r>
        <w:t>4.2</w:t>
      </w:r>
      <w:r>
        <w:rPr>
          <w:spacing w:val="4"/>
        </w:rPr>
        <w:t xml:space="preserve"> 万元， 占政府采购支出总额的</w:t>
      </w:r>
      <w:r>
        <w:t>46.1%。</w:t>
      </w:r>
    </w:p>
    <w:p>
      <w:pPr>
        <w:pStyle w:val="3"/>
        <w:spacing w:before="7"/>
        <w:ind w:firstLine="0"/>
      </w:pPr>
      <w:bookmarkStart w:id="20" w:name="（三）国有资产占有使用情况"/>
      <w:bookmarkEnd w:id="20"/>
      <w:r>
        <w:t>（三）国有资产占有使用情况</w:t>
      </w:r>
    </w:p>
    <w:p>
      <w:pPr>
        <w:pStyle w:val="4"/>
        <w:spacing w:before="190" w:line="350" w:lineRule="auto"/>
        <w:ind w:right="159" w:firstLine="640"/>
      </w:pPr>
      <w:r>
        <w:t>截至2020年12月31日，四川驻厦门办共有车辆5辆，其</w:t>
      </w:r>
      <w:r>
        <w:rPr>
          <w:spacing w:val="-15"/>
          <w:w w:val="99"/>
        </w:rPr>
        <w:t>中：应急保障用车</w:t>
      </w:r>
      <w:r>
        <w:rPr>
          <w:spacing w:val="1"/>
          <w:w w:val="99"/>
        </w:rPr>
        <w:t>2</w:t>
      </w:r>
      <w:r>
        <w:rPr>
          <w:spacing w:val="-20"/>
          <w:w w:val="99"/>
        </w:rPr>
        <w:t>辆、其他用车</w:t>
      </w:r>
      <w:r>
        <w:rPr>
          <w:spacing w:val="1"/>
          <w:w w:val="99"/>
        </w:rPr>
        <w:t>3</w:t>
      </w:r>
      <w:r>
        <w:rPr>
          <w:spacing w:val="-108"/>
          <w:w w:val="99"/>
        </w:rPr>
        <w:t>辆</w:t>
      </w:r>
      <w:r>
        <w:rPr>
          <w:spacing w:val="-3"/>
          <w:w w:val="99"/>
        </w:rPr>
        <w:t>（</w:t>
      </w:r>
      <w:r>
        <w:rPr>
          <w:w w:val="99"/>
        </w:rPr>
        <w:t>其中一台封存待处置</w:t>
      </w:r>
      <w:r>
        <w:rPr>
          <w:spacing w:val="-159"/>
          <w:w w:val="99"/>
        </w:rPr>
        <w:t>）</w:t>
      </w:r>
      <w:r>
        <w:rPr>
          <w:w w:val="99"/>
        </w:rPr>
        <w:t>，</w:t>
      </w:r>
    </w:p>
    <w:p>
      <w:pPr>
        <w:spacing w:after="0" w:line="350" w:lineRule="auto"/>
        <w:sectPr>
          <w:pgSz w:w="11910" w:h="16840"/>
          <w:pgMar w:top="1540" w:right="1480" w:bottom="1380" w:left="1660" w:header="0" w:footer="1191" w:gutter="0"/>
          <w:cols w:space="720" w:num="1"/>
        </w:sectPr>
      </w:pPr>
    </w:p>
    <w:p>
      <w:pPr>
        <w:pStyle w:val="4"/>
        <w:spacing w:before="43" w:line="350" w:lineRule="auto"/>
        <w:ind w:right="159"/>
      </w:pPr>
      <w:r>
        <w:rPr>
          <w:spacing w:val="-2"/>
        </w:rPr>
        <w:t>其他用车主要是用于离退休干部、接待用车。单价</w:t>
      </w:r>
      <w:r>
        <w:t>50万元以</w:t>
      </w:r>
      <w:r>
        <w:rPr>
          <w:w w:val="95"/>
        </w:rPr>
        <w:t>上通用设备0</w:t>
      </w:r>
      <w:r>
        <w:rPr>
          <w:spacing w:val="-41"/>
          <w:w w:val="95"/>
        </w:rPr>
        <w:t>台</w:t>
      </w:r>
      <w:r>
        <w:rPr>
          <w:w w:val="95"/>
        </w:rPr>
        <w:t>（套</w:t>
      </w:r>
      <w:r>
        <w:rPr>
          <w:spacing w:val="-43"/>
          <w:w w:val="95"/>
        </w:rPr>
        <w:t>），</w:t>
      </w:r>
      <w:r>
        <w:rPr>
          <w:w w:val="95"/>
        </w:rPr>
        <w:t>单价100万元以上专用设备0</w:t>
      </w:r>
      <w:r>
        <w:rPr>
          <w:spacing w:val="-41"/>
          <w:w w:val="95"/>
        </w:rPr>
        <w:t>台</w:t>
      </w:r>
      <w:r>
        <w:rPr>
          <w:w w:val="95"/>
        </w:rPr>
        <w:t>（套</w:t>
      </w:r>
      <w:r>
        <w:rPr>
          <w:spacing w:val="-159"/>
          <w:w w:val="95"/>
        </w:rPr>
        <w:t>）</w:t>
      </w:r>
      <w:r>
        <w:rPr>
          <w:w w:val="95"/>
        </w:rPr>
        <w:t>。</w:t>
      </w:r>
    </w:p>
    <w:p>
      <w:pPr>
        <w:pStyle w:val="3"/>
        <w:spacing w:before="3"/>
        <w:ind w:firstLine="0"/>
      </w:pPr>
      <w:bookmarkStart w:id="21" w:name="（四）预算绩效管理情况"/>
      <w:bookmarkEnd w:id="21"/>
      <w:r>
        <w:t>（四）预算绩效管理情况</w:t>
      </w:r>
    </w:p>
    <w:p>
      <w:pPr>
        <w:pStyle w:val="4"/>
        <w:spacing w:before="173"/>
        <w:ind w:left="780"/>
      </w:pPr>
      <w:r>
        <w:rPr>
          <w:spacing w:val="-18"/>
        </w:rPr>
        <w:t xml:space="preserve">根据预算绩效管理要求，本单位没有 </w:t>
      </w:r>
      <w:r>
        <w:t>100</w:t>
      </w:r>
      <w:r>
        <w:rPr>
          <w:spacing w:val="-13"/>
        </w:rPr>
        <w:t xml:space="preserve"> 万以上的项目，</w:t>
      </w:r>
    </w:p>
    <w:p>
      <w:pPr>
        <w:pStyle w:val="4"/>
        <w:spacing w:before="170"/>
      </w:pPr>
      <w:r>
        <w:t>对 0 个项目开展了绩效目标完成情况自评。</w:t>
      </w:r>
    </w:p>
    <w:p>
      <w:pPr>
        <w:spacing w:after="0"/>
        <w:sectPr>
          <w:pgSz w:w="11910" w:h="16840"/>
          <w:pgMar w:top="1540" w:right="1480" w:bottom="1380" w:left="1660" w:header="0" w:footer="1191" w:gutter="0"/>
          <w:cols w:space="720" w:num="1"/>
        </w:sectPr>
      </w:pPr>
    </w:p>
    <w:p>
      <w:pPr>
        <w:pStyle w:val="2"/>
        <w:ind w:right="825"/>
      </w:pPr>
      <w:bookmarkStart w:id="22" w:name="_TOC_250002"/>
      <w:bookmarkEnd w:id="22"/>
      <w:r>
        <w:t>第三部分 名词解释</w:t>
      </w:r>
    </w:p>
    <w:p>
      <w:pPr>
        <w:pStyle w:val="4"/>
        <w:ind w:left="0"/>
        <w:rPr>
          <w:rFonts w:ascii="黑体"/>
          <w:sz w:val="59"/>
        </w:rPr>
      </w:pPr>
    </w:p>
    <w:p>
      <w:pPr>
        <w:pStyle w:val="9"/>
        <w:numPr>
          <w:ilvl w:val="0"/>
          <w:numId w:val="5"/>
        </w:numPr>
        <w:tabs>
          <w:tab w:val="left" w:pos="1103"/>
        </w:tabs>
        <w:spacing w:before="0" w:after="0" w:line="350" w:lineRule="auto"/>
        <w:ind w:left="140" w:right="320" w:firstLine="640"/>
        <w:jc w:val="left"/>
        <w:rPr>
          <w:sz w:val="32"/>
        </w:rPr>
      </w:pPr>
      <w:r>
        <w:rPr>
          <w:spacing w:val="-3"/>
          <w:w w:val="95"/>
          <w:sz w:val="32"/>
        </w:rPr>
        <w:t>财政拨款收入：指单位从同级财政部门取得的财政预</w:t>
      </w:r>
      <w:r>
        <w:rPr>
          <w:rFonts w:hint="eastAsia"/>
          <w:spacing w:val="-3"/>
          <w:w w:val="95"/>
          <w:sz w:val="32"/>
          <w:lang w:val="en-US" w:eastAsia="zh-CN"/>
        </w:rPr>
        <w:t>算</w:t>
      </w:r>
      <w:r>
        <w:rPr>
          <w:spacing w:val="-3"/>
          <w:sz w:val="32"/>
        </w:rPr>
        <w:t>资金。</w:t>
      </w:r>
    </w:p>
    <w:p>
      <w:pPr>
        <w:pStyle w:val="9"/>
        <w:numPr>
          <w:ilvl w:val="0"/>
          <w:numId w:val="5"/>
        </w:numPr>
        <w:tabs>
          <w:tab w:val="left" w:pos="1100"/>
        </w:tabs>
        <w:spacing w:before="3" w:after="0" w:line="350" w:lineRule="auto"/>
        <w:ind w:left="140" w:right="320" w:firstLine="640"/>
        <w:jc w:val="left"/>
        <w:rPr>
          <w:sz w:val="32"/>
        </w:rPr>
      </w:pPr>
      <w:r>
        <w:rPr>
          <w:spacing w:val="-2"/>
          <w:w w:val="95"/>
          <w:sz w:val="32"/>
        </w:rPr>
        <w:t>年初结转和结余：指以前年度尚未完成、结转到本年</w:t>
      </w:r>
      <w:r>
        <w:rPr>
          <w:rFonts w:hint="eastAsia"/>
          <w:spacing w:val="-2"/>
          <w:w w:val="95"/>
          <w:sz w:val="32"/>
          <w:lang w:val="en-US" w:eastAsia="zh-CN"/>
        </w:rPr>
        <w:t>按</w:t>
      </w:r>
      <w:r>
        <w:rPr>
          <w:spacing w:val="-2"/>
          <w:sz w:val="32"/>
        </w:rPr>
        <w:t>有关规定继续使用的资金。</w:t>
      </w:r>
    </w:p>
    <w:p>
      <w:pPr>
        <w:pStyle w:val="9"/>
        <w:numPr>
          <w:ilvl w:val="0"/>
          <w:numId w:val="5"/>
        </w:numPr>
        <w:tabs>
          <w:tab w:val="left" w:pos="1100"/>
        </w:tabs>
        <w:spacing w:before="3" w:after="0" w:line="350" w:lineRule="auto"/>
        <w:ind w:left="140" w:right="317" w:firstLine="640"/>
        <w:jc w:val="left"/>
        <w:rPr>
          <w:sz w:val="32"/>
        </w:rPr>
      </w:pPr>
      <w:r>
        <w:rPr>
          <w:spacing w:val="-3"/>
          <w:sz w:val="32"/>
        </w:rPr>
        <w:t>结余分配：指事业单位按照会计制度规定缴纳的所得税、提取的专用结余以及转入非财政拨款结余的金额等。</w:t>
      </w:r>
    </w:p>
    <w:p>
      <w:pPr>
        <w:pStyle w:val="9"/>
        <w:numPr>
          <w:ilvl w:val="0"/>
          <w:numId w:val="5"/>
        </w:numPr>
        <w:tabs>
          <w:tab w:val="left" w:pos="1103"/>
        </w:tabs>
        <w:spacing w:before="2" w:after="0" w:line="350" w:lineRule="auto"/>
        <w:ind w:left="140" w:right="317" w:firstLine="640"/>
        <w:jc w:val="left"/>
        <w:rPr>
          <w:sz w:val="32"/>
        </w:rPr>
      </w:pPr>
      <w:r>
        <w:rPr>
          <w:spacing w:val="-2"/>
          <w:w w:val="95"/>
          <w:sz w:val="32"/>
        </w:rPr>
        <w:t>年末结转和结余：指单位按有关规定结转到下年或以</w:t>
      </w:r>
      <w:r>
        <w:rPr>
          <w:rFonts w:hint="eastAsia"/>
          <w:spacing w:val="-2"/>
          <w:w w:val="95"/>
          <w:sz w:val="32"/>
          <w:lang w:val="en-US" w:eastAsia="zh-CN"/>
        </w:rPr>
        <w:t>后</w:t>
      </w:r>
      <w:r>
        <w:rPr>
          <w:spacing w:val="-2"/>
          <w:w w:val="95"/>
          <w:sz w:val="32"/>
        </w:rPr>
        <w:t xml:space="preserve"> </w:t>
      </w:r>
      <w:r>
        <w:rPr>
          <w:spacing w:val="-2"/>
          <w:sz w:val="32"/>
        </w:rPr>
        <w:t>年度继续使用的资金。</w:t>
      </w:r>
    </w:p>
    <w:p>
      <w:pPr>
        <w:pStyle w:val="9"/>
        <w:numPr>
          <w:ilvl w:val="0"/>
          <w:numId w:val="5"/>
        </w:numPr>
        <w:tabs>
          <w:tab w:val="left" w:pos="1103"/>
        </w:tabs>
        <w:spacing w:before="3" w:after="0" w:line="350" w:lineRule="auto"/>
        <w:ind w:left="140" w:right="304" w:firstLine="640"/>
        <w:jc w:val="left"/>
        <w:rPr>
          <w:sz w:val="32"/>
        </w:rPr>
      </w:pPr>
      <w:r>
        <w:rPr>
          <w:spacing w:val="-5"/>
          <w:w w:val="95"/>
          <w:sz w:val="32"/>
        </w:rPr>
        <w:t>一般公共服务</w:t>
      </w:r>
      <w:r>
        <w:rPr>
          <w:w w:val="95"/>
          <w:sz w:val="32"/>
        </w:rPr>
        <w:t>（类</w:t>
      </w:r>
      <w:r>
        <w:rPr>
          <w:spacing w:val="-27"/>
          <w:w w:val="95"/>
          <w:sz w:val="32"/>
        </w:rPr>
        <w:t>）</w:t>
      </w:r>
      <w:r>
        <w:rPr>
          <w:spacing w:val="-6"/>
          <w:w w:val="95"/>
          <w:sz w:val="32"/>
        </w:rPr>
        <w:t>商贸事务</w:t>
      </w:r>
      <w:r>
        <w:rPr>
          <w:w w:val="95"/>
          <w:sz w:val="32"/>
        </w:rPr>
        <w:t>（款</w:t>
      </w:r>
      <w:r>
        <w:rPr>
          <w:spacing w:val="-27"/>
          <w:w w:val="95"/>
          <w:sz w:val="32"/>
        </w:rPr>
        <w:t>）</w:t>
      </w:r>
      <w:r>
        <w:rPr>
          <w:spacing w:val="-7"/>
          <w:w w:val="95"/>
          <w:sz w:val="32"/>
        </w:rPr>
        <w:t>行政运行</w:t>
      </w:r>
      <w:r>
        <w:rPr>
          <w:w w:val="95"/>
          <w:sz w:val="32"/>
        </w:rPr>
        <w:t>（项</w:t>
      </w:r>
      <w:r>
        <w:rPr>
          <w:spacing w:val="-12"/>
          <w:w w:val="95"/>
          <w:sz w:val="32"/>
        </w:rPr>
        <w:t xml:space="preserve">）: </w:t>
      </w:r>
      <w:r>
        <w:rPr>
          <w:sz w:val="32"/>
        </w:rPr>
        <w:t>指用于保障机构正常运行、开展日常工作的基本支出。</w:t>
      </w:r>
    </w:p>
    <w:p>
      <w:pPr>
        <w:pStyle w:val="9"/>
        <w:numPr>
          <w:ilvl w:val="0"/>
          <w:numId w:val="5"/>
        </w:numPr>
        <w:tabs>
          <w:tab w:val="left" w:pos="1103"/>
        </w:tabs>
        <w:spacing w:before="3" w:after="0" w:line="350" w:lineRule="auto"/>
        <w:ind w:left="140" w:right="317" w:firstLine="640"/>
        <w:jc w:val="both"/>
        <w:rPr>
          <w:sz w:val="32"/>
        </w:rPr>
      </w:pPr>
      <w:r>
        <w:rPr>
          <w:spacing w:val="-1"/>
          <w:w w:val="95"/>
          <w:sz w:val="32"/>
        </w:rPr>
        <w:t>一般公共服务</w:t>
      </w:r>
      <w:r>
        <w:rPr>
          <w:w w:val="95"/>
          <w:sz w:val="32"/>
        </w:rPr>
        <w:t>（类</w:t>
      </w:r>
      <w:r>
        <w:rPr>
          <w:spacing w:val="-3"/>
          <w:w w:val="95"/>
          <w:sz w:val="32"/>
        </w:rPr>
        <w:t>）</w:t>
      </w:r>
      <w:r>
        <w:rPr>
          <w:w w:val="95"/>
          <w:sz w:val="32"/>
        </w:rPr>
        <w:t>商贸事务</w:t>
      </w:r>
      <w:r>
        <w:rPr>
          <w:spacing w:val="-3"/>
          <w:w w:val="95"/>
          <w:sz w:val="32"/>
        </w:rPr>
        <w:t>（</w:t>
      </w:r>
      <w:r>
        <w:rPr>
          <w:w w:val="95"/>
          <w:sz w:val="32"/>
        </w:rPr>
        <w:t>款</w:t>
      </w:r>
      <w:r>
        <w:rPr>
          <w:spacing w:val="-3"/>
          <w:w w:val="95"/>
          <w:sz w:val="32"/>
        </w:rPr>
        <w:t>）</w:t>
      </w:r>
      <w:r>
        <w:rPr>
          <w:w w:val="95"/>
          <w:sz w:val="32"/>
        </w:rPr>
        <w:t xml:space="preserve">一般行政管理事 </w:t>
      </w:r>
      <w:r>
        <w:rPr>
          <w:spacing w:val="-3"/>
          <w:sz w:val="32"/>
        </w:rPr>
        <w:t>务</w:t>
      </w:r>
      <w:r>
        <w:rPr>
          <w:sz w:val="32"/>
        </w:rPr>
        <w:t>（项</w:t>
      </w:r>
      <w:r>
        <w:rPr>
          <w:spacing w:val="-3"/>
          <w:sz w:val="32"/>
        </w:rPr>
        <w:t>）</w:t>
      </w:r>
      <w:r>
        <w:rPr>
          <w:spacing w:val="-4"/>
          <w:sz w:val="32"/>
        </w:rPr>
        <w:t>: 指反映行政单位</w:t>
      </w:r>
      <w:r>
        <w:rPr>
          <w:spacing w:val="-3"/>
          <w:sz w:val="32"/>
        </w:rPr>
        <w:t>（</w:t>
      </w:r>
      <w:r>
        <w:rPr>
          <w:sz w:val="32"/>
        </w:rPr>
        <w:t>包括实行公务员管理的事业单位）未单独设置项级科目的其他项目支出。</w:t>
      </w:r>
    </w:p>
    <w:p>
      <w:pPr>
        <w:pStyle w:val="9"/>
        <w:numPr>
          <w:ilvl w:val="0"/>
          <w:numId w:val="5"/>
        </w:numPr>
        <w:tabs>
          <w:tab w:val="left" w:pos="1103"/>
        </w:tabs>
        <w:spacing w:before="4" w:after="0" w:line="350" w:lineRule="auto"/>
        <w:ind w:left="140" w:right="304" w:firstLine="640"/>
        <w:jc w:val="left"/>
        <w:rPr>
          <w:sz w:val="32"/>
        </w:rPr>
      </w:pPr>
      <w:r>
        <w:rPr>
          <w:spacing w:val="-5"/>
          <w:w w:val="95"/>
          <w:sz w:val="32"/>
        </w:rPr>
        <w:t>一般公共服务</w:t>
      </w:r>
      <w:r>
        <w:rPr>
          <w:w w:val="95"/>
          <w:sz w:val="32"/>
        </w:rPr>
        <w:t>（类</w:t>
      </w:r>
      <w:r>
        <w:rPr>
          <w:spacing w:val="-27"/>
          <w:w w:val="95"/>
          <w:sz w:val="32"/>
        </w:rPr>
        <w:t>）</w:t>
      </w:r>
      <w:r>
        <w:rPr>
          <w:spacing w:val="-6"/>
          <w:w w:val="95"/>
          <w:sz w:val="32"/>
        </w:rPr>
        <w:t>商贸事务</w:t>
      </w:r>
      <w:r>
        <w:rPr>
          <w:w w:val="95"/>
          <w:sz w:val="32"/>
        </w:rPr>
        <w:t>（款</w:t>
      </w:r>
      <w:r>
        <w:rPr>
          <w:spacing w:val="-27"/>
          <w:w w:val="95"/>
          <w:sz w:val="32"/>
        </w:rPr>
        <w:t>）</w:t>
      </w:r>
      <w:r>
        <w:rPr>
          <w:spacing w:val="-7"/>
          <w:w w:val="95"/>
          <w:sz w:val="32"/>
        </w:rPr>
        <w:t>招商引资</w:t>
      </w:r>
      <w:r>
        <w:rPr>
          <w:w w:val="95"/>
          <w:sz w:val="32"/>
        </w:rPr>
        <w:t>（项</w:t>
      </w:r>
      <w:r>
        <w:rPr>
          <w:spacing w:val="-12"/>
          <w:w w:val="95"/>
          <w:sz w:val="32"/>
        </w:rPr>
        <w:t xml:space="preserve">）: </w:t>
      </w:r>
      <w:r>
        <w:rPr>
          <w:sz w:val="32"/>
        </w:rPr>
        <w:t>指反映用于招商引资、优化经济环境等方面的支出。</w:t>
      </w:r>
    </w:p>
    <w:p>
      <w:pPr>
        <w:pStyle w:val="9"/>
        <w:numPr>
          <w:ilvl w:val="0"/>
          <w:numId w:val="5"/>
        </w:numPr>
        <w:tabs>
          <w:tab w:val="left" w:pos="1103"/>
        </w:tabs>
        <w:spacing w:before="3" w:after="0" w:line="350" w:lineRule="auto"/>
        <w:ind w:left="140" w:right="317" w:firstLine="640"/>
        <w:jc w:val="both"/>
        <w:rPr>
          <w:sz w:val="32"/>
        </w:rPr>
      </w:pPr>
      <w:r>
        <w:rPr>
          <w:spacing w:val="-1"/>
          <w:w w:val="95"/>
          <w:sz w:val="32"/>
        </w:rPr>
        <w:t>社会保障和就业</w:t>
      </w:r>
      <w:r>
        <w:rPr>
          <w:w w:val="95"/>
          <w:sz w:val="32"/>
        </w:rPr>
        <w:t>（类</w:t>
      </w:r>
      <w:r>
        <w:rPr>
          <w:spacing w:val="-5"/>
          <w:w w:val="95"/>
          <w:sz w:val="32"/>
        </w:rPr>
        <w:t>）</w:t>
      </w:r>
      <w:r>
        <w:rPr>
          <w:w w:val="95"/>
          <w:sz w:val="32"/>
        </w:rPr>
        <w:t>行政事业单位离退休（款</w:t>
      </w:r>
      <w:r>
        <w:rPr>
          <w:spacing w:val="-3"/>
          <w:w w:val="95"/>
          <w:sz w:val="32"/>
        </w:rPr>
        <w:t>）</w:t>
      </w:r>
      <w:r>
        <w:rPr>
          <w:w w:val="95"/>
          <w:sz w:val="32"/>
        </w:rPr>
        <w:t xml:space="preserve">未 </w:t>
      </w:r>
      <w:r>
        <w:rPr>
          <w:spacing w:val="-1"/>
          <w:sz w:val="32"/>
        </w:rPr>
        <w:t>归口管理的行政单位离退休</w:t>
      </w:r>
      <w:r>
        <w:rPr>
          <w:sz w:val="32"/>
        </w:rPr>
        <w:t>（项</w:t>
      </w:r>
      <w:r>
        <w:rPr>
          <w:spacing w:val="-4"/>
          <w:sz w:val="32"/>
        </w:rPr>
        <w:t>）: 指反映未实行归口管理</w:t>
      </w:r>
      <w:r>
        <w:rPr>
          <w:spacing w:val="-5"/>
          <w:w w:val="95"/>
          <w:sz w:val="32"/>
        </w:rPr>
        <w:t>的行政单位</w:t>
      </w:r>
      <w:r>
        <w:rPr>
          <w:w w:val="95"/>
          <w:sz w:val="32"/>
        </w:rPr>
        <w:t>（包括实行公务员管理的事业单位</w:t>
      </w:r>
      <w:r>
        <w:rPr>
          <w:spacing w:val="-7"/>
          <w:w w:val="95"/>
          <w:sz w:val="32"/>
        </w:rPr>
        <w:t>）</w:t>
      </w:r>
      <w:r>
        <w:rPr>
          <w:w w:val="95"/>
          <w:sz w:val="32"/>
        </w:rPr>
        <w:t>开支的离退</w:t>
      </w:r>
      <w:r>
        <w:rPr>
          <w:sz w:val="32"/>
        </w:rPr>
        <w:t>休支出。</w:t>
      </w:r>
    </w:p>
    <w:p>
      <w:pPr>
        <w:pStyle w:val="9"/>
        <w:numPr>
          <w:ilvl w:val="0"/>
          <w:numId w:val="5"/>
        </w:numPr>
        <w:tabs>
          <w:tab w:val="left" w:pos="1103"/>
        </w:tabs>
        <w:spacing w:before="6" w:after="0" w:line="350" w:lineRule="auto"/>
        <w:ind w:left="140" w:right="317" w:firstLine="640"/>
        <w:jc w:val="both"/>
        <w:rPr>
          <w:sz w:val="32"/>
        </w:rPr>
      </w:pPr>
      <w:r>
        <w:rPr>
          <w:spacing w:val="-1"/>
          <w:w w:val="95"/>
          <w:sz w:val="32"/>
        </w:rPr>
        <w:t>社会保障和就业</w:t>
      </w:r>
      <w:r>
        <w:rPr>
          <w:w w:val="95"/>
          <w:sz w:val="32"/>
        </w:rPr>
        <w:t>（类</w:t>
      </w:r>
      <w:r>
        <w:rPr>
          <w:spacing w:val="-5"/>
          <w:w w:val="95"/>
          <w:sz w:val="32"/>
        </w:rPr>
        <w:t>）</w:t>
      </w:r>
      <w:r>
        <w:rPr>
          <w:w w:val="95"/>
          <w:sz w:val="32"/>
        </w:rPr>
        <w:t>行政事业单位离退休（款</w:t>
      </w:r>
      <w:r>
        <w:rPr>
          <w:spacing w:val="-3"/>
          <w:w w:val="95"/>
          <w:sz w:val="32"/>
        </w:rPr>
        <w:t>）</w:t>
      </w:r>
      <w:r>
        <w:rPr>
          <w:w w:val="95"/>
          <w:sz w:val="32"/>
        </w:rPr>
        <w:t xml:space="preserve">机 </w:t>
      </w:r>
      <w:r>
        <w:rPr>
          <w:spacing w:val="-1"/>
          <w:sz w:val="32"/>
        </w:rPr>
        <w:t>关事业单位基本养老保险缴费支出</w:t>
      </w:r>
      <w:r>
        <w:rPr>
          <w:sz w:val="32"/>
        </w:rPr>
        <w:t>（项</w:t>
      </w:r>
      <w:r>
        <w:rPr>
          <w:spacing w:val="-4"/>
          <w:sz w:val="32"/>
        </w:rPr>
        <w:t>）: 指反映机关事业</w:t>
      </w:r>
    </w:p>
    <w:p>
      <w:pPr>
        <w:spacing w:after="0" w:line="350" w:lineRule="auto"/>
        <w:jc w:val="both"/>
        <w:rPr>
          <w:sz w:val="32"/>
        </w:rPr>
        <w:sectPr>
          <w:pgSz w:w="11910" w:h="16840"/>
          <w:pgMar w:top="1440" w:right="1480" w:bottom="1380" w:left="1660" w:header="0" w:footer="1191" w:gutter="0"/>
          <w:cols w:space="720" w:num="1"/>
        </w:sectPr>
      </w:pPr>
    </w:p>
    <w:p>
      <w:pPr>
        <w:pStyle w:val="4"/>
        <w:spacing w:before="43" w:line="350" w:lineRule="auto"/>
        <w:ind w:left="780" w:right="320" w:hanging="641"/>
      </w:pPr>
      <w:r>
        <w:t xml:space="preserve">单位实施养老保险制度由单位缴纳的基本保险费支出。  </w:t>
      </w:r>
    </w:p>
    <w:p>
      <w:pPr>
        <w:pStyle w:val="4"/>
        <w:spacing w:before="43" w:line="350" w:lineRule="auto"/>
        <w:ind w:right="320" w:firstLine="608" w:firstLineChars="200"/>
      </w:pPr>
      <w:r>
        <w:rPr>
          <w:w w:val="95"/>
        </w:rPr>
        <w:t>10</w:t>
      </w:r>
      <w:r>
        <w:rPr>
          <w:spacing w:val="4"/>
          <w:w w:val="95"/>
        </w:rPr>
        <w:t>.卫生健康支出</w:t>
      </w:r>
      <w:r>
        <w:rPr>
          <w:spacing w:val="7"/>
          <w:w w:val="95"/>
        </w:rPr>
        <w:t>（类）行政事业单位医疗（款）</w:t>
      </w:r>
      <w:r>
        <w:rPr>
          <w:spacing w:val="3"/>
          <w:w w:val="95"/>
        </w:rPr>
        <w:t>行政</w:t>
      </w:r>
      <w:r>
        <w:rPr>
          <w:rFonts w:hint="eastAsia"/>
          <w:spacing w:val="3"/>
          <w:w w:val="95"/>
          <w:lang w:val="en-US" w:eastAsia="zh-CN"/>
        </w:rPr>
        <w:t>单位</w:t>
      </w:r>
      <w:r>
        <w:rPr>
          <w:spacing w:val="-2"/>
        </w:rPr>
        <w:t>医疗</w:t>
      </w:r>
      <w:r>
        <w:t>（项</w:t>
      </w:r>
      <w:r>
        <w:rPr>
          <w:spacing w:val="-4"/>
        </w:rPr>
        <w:t>）</w:t>
      </w:r>
      <w:r>
        <w:rPr>
          <w:spacing w:val="-3"/>
        </w:rPr>
        <w:t>: 指反映财政部门集中安排的行政单位基本</w:t>
      </w:r>
      <w:r>
        <w:rPr>
          <w:spacing w:val="-5"/>
        </w:rPr>
        <w:t>医疗保险缴费经费，未参加医疗保险的行政单位的公费医疗经费，按国家规定享受离休人员、红军老战士待遇人员的医疗 经费。</w:t>
      </w:r>
    </w:p>
    <w:p>
      <w:pPr>
        <w:pStyle w:val="9"/>
        <w:numPr>
          <w:ilvl w:val="0"/>
          <w:numId w:val="6"/>
        </w:numPr>
        <w:tabs>
          <w:tab w:val="left" w:pos="1266"/>
        </w:tabs>
        <w:spacing w:before="5" w:after="0" w:line="350" w:lineRule="auto"/>
        <w:ind w:left="140" w:right="317" w:firstLine="640"/>
        <w:jc w:val="both"/>
        <w:rPr>
          <w:sz w:val="32"/>
        </w:rPr>
      </w:pPr>
      <w:r>
        <w:rPr>
          <w:spacing w:val="7"/>
          <w:w w:val="95"/>
          <w:sz w:val="32"/>
        </w:rPr>
        <w:t>卫生健康支出（类）行政事业单位医疗（款）</w:t>
      </w:r>
      <w:r>
        <w:rPr>
          <w:spacing w:val="3"/>
          <w:w w:val="95"/>
          <w:sz w:val="32"/>
        </w:rPr>
        <w:t xml:space="preserve">事业 </w:t>
      </w:r>
      <w:r>
        <w:rPr>
          <w:sz w:val="32"/>
        </w:rPr>
        <w:t>单位医疗（项</w:t>
      </w:r>
      <w:r>
        <w:rPr>
          <w:spacing w:val="-4"/>
          <w:sz w:val="32"/>
        </w:rPr>
        <w:t>）</w:t>
      </w:r>
      <w:r>
        <w:rPr>
          <w:spacing w:val="-3"/>
          <w:sz w:val="32"/>
        </w:rPr>
        <w:t>: 指反映财政部门集中安排的事业单位基本</w:t>
      </w:r>
      <w:r>
        <w:rPr>
          <w:spacing w:val="-5"/>
          <w:sz w:val="32"/>
        </w:rPr>
        <w:t>医疗保险缴费经费，未参加医疗保险的事业单位的公费医疗经费，按国家规定享受离休人员待遇的医疗经费。</w:t>
      </w:r>
    </w:p>
    <w:p>
      <w:pPr>
        <w:pStyle w:val="9"/>
        <w:numPr>
          <w:ilvl w:val="0"/>
          <w:numId w:val="6"/>
        </w:numPr>
        <w:tabs>
          <w:tab w:val="left" w:pos="1266"/>
        </w:tabs>
        <w:spacing w:before="6" w:after="0" w:line="350" w:lineRule="auto"/>
        <w:ind w:left="140" w:right="320" w:firstLine="640"/>
        <w:jc w:val="both"/>
        <w:rPr>
          <w:sz w:val="32"/>
        </w:rPr>
      </w:pPr>
      <w:r>
        <w:rPr>
          <w:spacing w:val="7"/>
          <w:w w:val="95"/>
          <w:sz w:val="32"/>
        </w:rPr>
        <w:t>卫生健康支出（类）行政事业单位医疗（款）</w:t>
      </w:r>
      <w:r>
        <w:rPr>
          <w:spacing w:val="3"/>
          <w:w w:val="95"/>
          <w:sz w:val="32"/>
        </w:rPr>
        <w:t xml:space="preserve">公务 </w:t>
      </w:r>
      <w:r>
        <w:rPr>
          <w:spacing w:val="1"/>
          <w:sz w:val="32"/>
        </w:rPr>
        <w:t>员医疗补助</w:t>
      </w:r>
      <w:r>
        <w:rPr>
          <w:sz w:val="32"/>
        </w:rPr>
        <w:t>（项</w:t>
      </w:r>
      <w:r>
        <w:rPr>
          <w:spacing w:val="-3"/>
          <w:sz w:val="32"/>
        </w:rPr>
        <w:t>）</w:t>
      </w:r>
      <w:r>
        <w:rPr>
          <w:spacing w:val="-4"/>
          <w:sz w:val="32"/>
        </w:rPr>
        <w:t>: 指反映财政部门集中安排的公务员医疗补助经费。</w:t>
      </w:r>
    </w:p>
    <w:p>
      <w:pPr>
        <w:pStyle w:val="9"/>
        <w:numPr>
          <w:ilvl w:val="0"/>
          <w:numId w:val="6"/>
        </w:numPr>
        <w:tabs>
          <w:tab w:val="left" w:pos="1261"/>
        </w:tabs>
        <w:spacing w:before="4" w:after="0" w:line="350" w:lineRule="auto"/>
        <w:ind w:left="140" w:right="316" w:firstLine="640"/>
        <w:jc w:val="both"/>
        <w:rPr>
          <w:sz w:val="32"/>
        </w:rPr>
      </w:pPr>
      <w:r>
        <w:rPr>
          <w:spacing w:val="-16"/>
          <w:w w:val="99"/>
          <w:sz w:val="32"/>
        </w:rPr>
        <w:t>住房保障支出</w:t>
      </w:r>
      <w:r>
        <w:rPr>
          <w:spacing w:val="-3"/>
          <w:w w:val="99"/>
          <w:sz w:val="32"/>
        </w:rPr>
        <w:t>（</w:t>
      </w:r>
      <w:r>
        <w:rPr>
          <w:w w:val="99"/>
          <w:sz w:val="32"/>
        </w:rPr>
        <w:t>类</w:t>
      </w:r>
      <w:r>
        <w:rPr>
          <w:spacing w:val="-99"/>
          <w:w w:val="99"/>
          <w:sz w:val="32"/>
        </w:rPr>
        <w:t>）</w:t>
      </w:r>
      <w:r>
        <w:rPr>
          <w:spacing w:val="-24"/>
          <w:w w:val="99"/>
          <w:sz w:val="32"/>
        </w:rPr>
        <w:t>住房改革</w:t>
      </w:r>
      <w:r>
        <w:rPr>
          <w:w w:val="99"/>
          <w:sz w:val="32"/>
        </w:rPr>
        <w:t>（款</w:t>
      </w:r>
      <w:r>
        <w:rPr>
          <w:spacing w:val="-99"/>
          <w:w w:val="99"/>
          <w:sz w:val="32"/>
        </w:rPr>
        <w:t>）</w:t>
      </w:r>
      <w:r>
        <w:rPr>
          <w:spacing w:val="-19"/>
          <w:w w:val="99"/>
          <w:sz w:val="32"/>
        </w:rPr>
        <w:t>住房公积金</w:t>
      </w:r>
      <w:r>
        <w:rPr>
          <w:spacing w:val="-3"/>
          <w:w w:val="99"/>
          <w:sz w:val="32"/>
        </w:rPr>
        <w:t>（</w:t>
      </w:r>
      <w:r>
        <w:rPr>
          <w:w w:val="99"/>
          <w:sz w:val="32"/>
        </w:rPr>
        <w:t>项</w:t>
      </w:r>
      <w:r>
        <w:rPr>
          <w:spacing w:val="-156"/>
          <w:w w:val="99"/>
          <w:sz w:val="32"/>
        </w:rPr>
        <w:t>）</w:t>
      </w:r>
      <w:r>
        <w:rPr>
          <w:w w:val="99"/>
          <w:sz w:val="32"/>
        </w:rPr>
        <w:t>:</w:t>
      </w:r>
      <w:r>
        <w:rPr>
          <w:spacing w:val="-1"/>
          <w:sz w:val="32"/>
        </w:rPr>
        <w:t>指反映行政事业单位按人力资源和社会保障部、财政部规定</w:t>
      </w:r>
      <w:r>
        <w:rPr>
          <w:spacing w:val="11"/>
          <w:w w:val="95"/>
          <w:sz w:val="32"/>
        </w:rPr>
        <w:t xml:space="preserve">的基本工资和津贴补贴以及规定比例为职工缴纳的住房公 </w:t>
      </w:r>
      <w:r>
        <w:rPr>
          <w:spacing w:val="11"/>
          <w:sz w:val="32"/>
        </w:rPr>
        <w:t>积金。</w:t>
      </w:r>
    </w:p>
    <w:p>
      <w:pPr>
        <w:pStyle w:val="9"/>
        <w:numPr>
          <w:ilvl w:val="0"/>
          <w:numId w:val="6"/>
        </w:numPr>
        <w:tabs>
          <w:tab w:val="left" w:pos="1266"/>
        </w:tabs>
        <w:spacing w:before="5" w:after="0" w:line="350" w:lineRule="auto"/>
        <w:ind w:left="140" w:right="320" w:firstLine="640"/>
        <w:jc w:val="left"/>
        <w:rPr>
          <w:sz w:val="32"/>
        </w:rPr>
      </w:pPr>
      <w:r>
        <w:rPr>
          <w:spacing w:val="6"/>
          <w:w w:val="95"/>
          <w:sz w:val="32"/>
        </w:rPr>
        <w:t>基本支出：指为保障机构正常运转、完成日常工作</w:t>
      </w:r>
      <w:r>
        <w:rPr>
          <w:rFonts w:hint="eastAsia"/>
          <w:spacing w:val="6"/>
          <w:w w:val="95"/>
          <w:sz w:val="32"/>
          <w:lang w:val="en-US" w:eastAsia="zh-CN"/>
        </w:rPr>
        <w:t>任务</w:t>
      </w:r>
      <w:r>
        <w:rPr>
          <w:spacing w:val="6"/>
          <w:sz w:val="32"/>
        </w:rPr>
        <w:t>而发生的人员支出和公用支出。</w:t>
      </w:r>
    </w:p>
    <w:p>
      <w:pPr>
        <w:pStyle w:val="9"/>
        <w:numPr>
          <w:ilvl w:val="0"/>
          <w:numId w:val="6"/>
        </w:numPr>
        <w:tabs>
          <w:tab w:val="left" w:pos="1266"/>
        </w:tabs>
        <w:spacing w:before="3" w:after="0" w:line="350" w:lineRule="auto"/>
        <w:ind w:left="140" w:right="320" w:firstLine="640"/>
        <w:jc w:val="left"/>
        <w:rPr>
          <w:sz w:val="32"/>
        </w:rPr>
      </w:pPr>
      <w:r>
        <w:rPr>
          <w:spacing w:val="6"/>
          <w:w w:val="95"/>
          <w:sz w:val="32"/>
        </w:rPr>
        <w:t>项目支出：指在基本支出之外为完成特定行政任务</w:t>
      </w:r>
      <w:r>
        <w:rPr>
          <w:rFonts w:hint="eastAsia"/>
          <w:spacing w:val="6"/>
          <w:w w:val="95"/>
          <w:sz w:val="32"/>
          <w:lang w:val="en-US" w:eastAsia="zh-CN"/>
        </w:rPr>
        <w:t>和</w:t>
      </w:r>
      <w:r>
        <w:rPr>
          <w:spacing w:val="6"/>
          <w:sz w:val="32"/>
        </w:rPr>
        <w:t>事业发展目标所发生的支出。</w:t>
      </w:r>
    </w:p>
    <w:p>
      <w:pPr>
        <w:pStyle w:val="9"/>
        <w:keepNext w:val="0"/>
        <w:keepLines w:val="0"/>
        <w:pageBreakBefore w:val="0"/>
        <w:widowControl w:val="0"/>
        <w:numPr>
          <w:ilvl w:val="0"/>
          <w:numId w:val="6"/>
        </w:numPr>
        <w:tabs>
          <w:tab w:val="left" w:pos="1261"/>
        </w:tabs>
        <w:kinsoku/>
        <w:wordWrap/>
        <w:overflowPunct/>
        <w:topLinePunct w:val="0"/>
        <w:autoSpaceDE w:val="0"/>
        <w:autoSpaceDN w:val="0"/>
        <w:bidi w:val="0"/>
        <w:adjustRightInd/>
        <w:snapToGrid/>
        <w:spacing w:before="3" w:after="0" w:line="240" w:lineRule="auto"/>
        <w:ind w:left="1260" w:right="0" w:hanging="481"/>
        <w:jc w:val="left"/>
        <w:textAlignment w:val="auto"/>
        <w:rPr>
          <w:sz w:val="32"/>
        </w:rPr>
      </w:pPr>
      <w:r>
        <w:rPr>
          <w:w w:val="95"/>
          <w:sz w:val="32"/>
        </w:rPr>
        <w:t>“三公”经费：指单位用财政拨款安排的因公出国</w:t>
      </w:r>
      <w:r>
        <w:rPr>
          <w:rFonts w:hint="eastAsia"/>
          <w:w w:val="95"/>
          <w:sz w:val="32"/>
          <w:lang w:eastAsia="zh-CN"/>
        </w:rPr>
        <w:t>（</w:t>
      </w:r>
      <w:r>
        <w:rPr>
          <w:rFonts w:hint="eastAsia"/>
          <w:w w:val="95"/>
          <w:sz w:val="32"/>
          <w:lang w:val="en-US" w:eastAsia="zh-CN"/>
        </w:rPr>
        <w:t>境）</w:t>
      </w:r>
    </w:p>
    <w:p>
      <w:pPr>
        <w:pStyle w:val="4"/>
        <w:keepNext w:val="0"/>
        <w:keepLines w:val="0"/>
        <w:pageBreakBefore w:val="0"/>
        <w:widowControl w:val="0"/>
        <w:kinsoku/>
        <w:wordWrap/>
        <w:overflowPunct/>
        <w:topLinePunct w:val="0"/>
        <w:autoSpaceDE w:val="0"/>
        <w:autoSpaceDN w:val="0"/>
        <w:bidi w:val="0"/>
        <w:adjustRightInd/>
        <w:snapToGrid/>
        <w:spacing w:before="190" w:line="640" w:lineRule="exact"/>
        <w:ind w:left="142"/>
        <w:textAlignment w:val="auto"/>
      </w:pPr>
      <w:r>
        <w:rPr>
          <w:spacing w:val="-3"/>
          <w:w w:val="95"/>
        </w:rPr>
        <w:t>费、公务用车购置及运行费和公务接待费。其中，因</w:t>
      </w:r>
      <w:r>
        <w:t>公出国（境）</w:t>
      </w:r>
      <w:r>
        <w:rPr>
          <w:rFonts w:ascii="仿宋" w:hAnsi="仿宋" w:eastAsia="仿宋" w:cs="仿宋"/>
          <w:w w:val="95"/>
          <w:sz w:val="32"/>
          <w:szCs w:val="22"/>
          <w:lang w:val="zh-CN" w:eastAsia="zh-CN" w:bidi="zh-CN"/>
        </w:rPr>
        <w:t>费反映单位公务出国（境）的国际旅费、国外城市间交通费、住宿费、伙食费、培训费、公杂费等支出； 公务用车购置及运行费反映单位公务用车车辆购置支出（含车辆购置税）及租用费、燃料费、维修费、过路过桥费、保险费等支出；公务接待费反映单位按规定开支的各类公务接待（含外宾接待）支出。</w:t>
      </w:r>
    </w:p>
    <w:p>
      <w:pPr>
        <w:pStyle w:val="9"/>
        <w:keepNext w:val="0"/>
        <w:keepLines w:val="0"/>
        <w:pageBreakBefore w:val="0"/>
        <w:widowControl w:val="0"/>
        <w:numPr>
          <w:ilvl w:val="0"/>
          <w:numId w:val="6"/>
        </w:numPr>
        <w:tabs>
          <w:tab w:val="left" w:pos="1261"/>
        </w:tabs>
        <w:kinsoku/>
        <w:wordWrap/>
        <w:overflowPunct/>
        <w:topLinePunct w:val="0"/>
        <w:autoSpaceDE w:val="0"/>
        <w:autoSpaceDN w:val="0"/>
        <w:bidi w:val="0"/>
        <w:adjustRightInd/>
        <w:snapToGrid/>
        <w:spacing w:before="8" w:after="0" w:line="640" w:lineRule="exact"/>
        <w:ind w:left="140" w:right="317" w:firstLine="640"/>
        <w:jc w:val="left"/>
        <w:textAlignment w:val="auto"/>
        <w:rPr>
          <w:sz w:val="32"/>
        </w:rPr>
      </w:pPr>
      <w:r>
        <w:rPr>
          <w:sz w:val="32"/>
        </w:rPr>
        <w:t>机关运行经费：为保障行政单位（含参照公务员法</w:t>
      </w:r>
      <w:r>
        <w:rPr>
          <w:w w:val="95"/>
          <w:sz w:val="32"/>
        </w:rPr>
        <w:t>管理的事业单位</w:t>
      </w:r>
      <w:r>
        <w:rPr>
          <w:spacing w:val="-5"/>
          <w:w w:val="95"/>
          <w:sz w:val="32"/>
        </w:rPr>
        <w:t>）</w:t>
      </w:r>
      <w:r>
        <w:rPr>
          <w:spacing w:val="-1"/>
          <w:w w:val="95"/>
          <w:sz w:val="32"/>
        </w:rPr>
        <w:t xml:space="preserve">运行用于购买货物和服务的各项资金，包 </w:t>
      </w:r>
      <w:r>
        <w:rPr>
          <w:spacing w:val="-3"/>
          <w:w w:val="95"/>
          <w:sz w:val="32"/>
        </w:rPr>
        <w:t xml:space="preserve">括办公及印刷费、邮电费、差旅费、会议费、福利费、日常 </w:t>
      </w:r>
      <w:r>
        <w:rPr>
          <w:spacing w:val="-5"/>
          <w:sz w:val="32"/>
        </w:rPr>
        <w:t>维修费、专用材料及一般设备购置费、办公用房水电费、办</w:t>
      </w:r>
      <w:r>
        <w:rPr>
          <w:spacing w:val="-6"/>
          <w:sz w:val="32"/>
        </w:rPr>
        <w:t>公用房取暖费、办公用房物业管理费、公务用车运行维护费以及其他费用。</w:t>
      </w:r>
    </w:p>
    <w:p>
      <w:pPr>
        <w:spacing w:after="0" w:line="350" w:lineRule="auto"/>
        <w:jc w:val="left"/>
        <w:rPr>
          <w:sz w:val="32"/>
        </w:rPr>
        <w:sectPr>
          <w:pgSz w:w="11910" w:h="16840"/>
          <w:pgMar w:top="1540" w:right="1480" w:bottom="1380" w:left="1660" w:header="0" w:footer="1191" w:gutter="0"/>
          <w:cols w:space="720" w:num="1"/>
        </w:sectPr>
      </w:pPr>
    </w:p>
    <w:p>
      <w:pPr>
        <w:pStyle w:val="2"/>
      </w:pPr>
      <w:bookmarkStart w:id="23" w:name="_TOC_250001"/>
      <w:bookmarkEnd w:id="23"/>
      <w:r>
        <w:t>第四部分 附件</w:t>
      </w:r>
    </w:p>
    <w:p>
      <w:pPr>
        <w:pStyle w:val="4"/>
        <w:spacing w:before="12"/>
        <w:ind w:left="0"/>
        <w:rPr>
          <w:rFonts w:ascii="黑体"/>
          <w:sz w:val="47"/>
        </w:rPr>
      </w:pPr>
    </w:p>
    <w:p>
      <w:pPr>
        <w:spacing w:before="0"/>
        <w:ind w:left="1305" w:right="1485" w:firstLine="0"/>
        <w:jc w:val="center"/>
        <w:rPr>
          <w:rFonts w:hint="eastAsia" w:ascii="宋体" w:eastAsia="宋体"/>
          <w:sz w:val="44"/>
        </w:rPr>
      </w:pPr>
      <w:r>
        <w:rPr>
          <w:rFonts w:hint="eastAsia" w:ascii="宋体" w:eastAsia="宋体"/>
          <w:sz w:val="44"/>
        </w:rPr>
        <w:t>2020 年项目支出绩效自评报告</w:t>
      </w:r>
    </w:p>
    <w:p>
      <w:pPr>
        <w:pStyle w:val="4"/>
        <w:spacing w:before="12"/>
        <w:ind w:left="0"/>
        <w:rPr>
          <w:rFonts w:ascii="宋体"/>
          <w:sz w:val="57"/>
        </w:rPr>
      </w:pPr>
    </w:p>
    <w:p>
      <w:pPr>
        <w:pStyle w:val="4"/>
        <w:ind w:left="780"/>
        <w:rPr>
          <w:rFonts w:hint="eastAsia" w:eastAsia="仿宋"/>
          <w:spacing w:val="-13"/>
          <w:lang w:val="en-US" w:eastAsia="zh-CN"/>
        </w:rPr>
      </w:pPr>
      <w:r>
        <w:rPr>
          <w:spacing w:val="-18"/>
        </w:rPr>
        <w:t xml:space="preserve">根据预算绩效管理要求，本单位没有 </w:t>
      </w:r>
      <w:r>
        <w:t>100</w:t>
      </w:r>
      <w:r>
        <w:rPr>
          <w:spacing w:val="-13"/>
        </w:rPr>
        <w:t xml:space="preserve"> 万以上的项目，</w:t>
      </w:r>
    </w:p>
    <w:p>
      <w:pPr>
        <w:pStyle w:val="4"/>
        <w:spacing w:before="171"/>
      </w:pPr>
      <w:r>
        <w:t>对 0 个项目开展了绩效目标完成情况自评。</w:t>
      </w:r>
    </w:p>
    <w:p>
      <w:pPr>
        <w:spacing w:after="0"/>
        <w:sectPr>
          <w:pgSz w:w="11910" w:h="16840"/>
          <w:pgMar w:top="1440" w:right="1480" w:bottom="1380" w:left="1660" w:header="0" w:footer="1191" w:gutter="0"/>
          <w:cols w:space="720" w:num="1"/>
        </w:sectPr>
      </w:pPr>
    </w:p>
    <w:p>
      <w:pPr>
        <w:pStyle w:val="4"/>
        <w:ind w:left="0"/>
        <w:rPr>
          <w:sz w:val="20"/>
        </w:rPr>
      </w:pPr>
    </w:p>
    <w:p>
      <w:pPr>
        <w:pStyle w:val="4"/>
        <w:spacing w:before="10"/>
        <w:ind w:left="0"/>
        <w:rPr>
          <w:sz w:val="14"/>
        </w:rPr>
      </w:pPr>
    </w:p>
    <w:p>
      <w:pPr>
        <w:pStyle w:val="2"/>
        <w:spacing w:before="37"/>
      </w:pPr>
      <w:bookmarkStart w:id="24" w:name="_TOC_250000"/>
      <w:bookmarkEnd w:id="24"/>
      <w:r>
        <w:t>第五部分 附表</w:t>
      </w:r>
    </w:p>
    <w:p>
      <w:pPr>
        <w:pStyle w:val="4"/>
        <w:spacing w:before="363" w:line="518" w:lineRule="auto"/>
        <w:ind w:right="5425"/>
      </w:pPr>
      <w:bookmarkStart w:id="25" w:name="一、收入支出决算总表"/>
      <w:bookmarkEnd w:id="25"/>
      <w:r>
        <w:rPr>
          <w:spacing w:val="-2"/>
        </w:rPr>
        <w:t>一、收入支出决算总表</w:t>
      </w:r>
      <w:bookmarkStart w:id="26" w:name="二、收入决算表"/>
      <w:bookmarkEnd w:id="26"/>
      <w:r>
        <w:t>二、收入决算表</w:t>
      </w:r>
    </w:p>
    <w:p>
      <w:pPr>
        <w:pStyle w:val="4"/>
        <w:spacing w:line="408" w:lineRule="exact"/>
      </w:pPr>
      <w:bookmarkStart w:id="27" w:name="三、支出决算表"/>
      <w:bookmarkEnd w:id="27"/>
      <w:r>
        <w:rPr>
          <w:w w:val="95"/>
        </w:rPr>
        <w:t>三、支出决算表</w:t>
      </w:r>
    </w:p>
    <w:p>
      <w:pPr>
        <w:pStyle w:val="4"/>
        <w:spacing w:before="12"/>
        <w:ind w:left="0"/>
        <w:rPr>
          <w:sz w:val="36"/>
        </w:rPr>
      </w:pPr>
    </w:p>
    <w:p>
      <w:pPr>
        <w:pStyle w:val="4"/>
        <w:spacing w:line="518" w:lineRule="auto"/>
        <w:ind w:right="4145"/>
      </w:pPr>
      <w:bookmarkStart w:id="28" w:name="四、财政拨款收入支出决算总表"/>
      <w:bookmarkEnd w:id="28"/>
      <w:r>
        <w:t>四、财政拨款收入支出决算总表</w:t>
      </w:r>
      <w:bookmarkStart w:id="29" w:name="五、财政拨款支出决算明细表"/>
      <w:bookmarkEnd w:id="29"/>
      <w:r>
        <w:t>五、财政拨款支出决算明细表</w:t>
      </w:r>
    </w:p>
    <w:p>
      <w:pPr>
        <w:pStyle w:val="4"/>
        <w:spacing w:line="408" w:lineRule="exact"/>
      </w:pPr>
      <w:bookmarkStart w:id="30" w:name="六、一般公共预算财政拨款支出决算表"/>
      <w:bookmarkEnd w:id="30"/>
      <w:r>
        <w:t>六、一般公共预算财政拨款支出决算表</w:t>
      </w:r>
    </w:p>
    <w:p>
      <w:pPr>
        <w:pStyle w:val="4"/>
        <w:spacing w:before="11"/>
        <w:ind w:left="0"/>
        <w:rPr>
          <w:sz w:val="36"/>
        </w:rPr>
      </w:pPr>
    </w:p>
    <w:p>
      <w:pPr>
        <w:pStyle w:val="4"/>
        <w:spacing w:before="1" w:line="518" w:lineRule="auto"/>
        <w:ind w:right="2545"/>
        <w:jc w:val="both"/>
      </w:pPr>
      <w:bookmarkStart w:id="31" w:name="七、一般公共预算财政拨款支出决算明细表"/>
      <w:bookmarkEnd w:id="31"/>
      <w:r>
        <w:t>七、一般公共预算财政拨款支出决算明细表</w:t>
      </w:r>
      <w:bookmarkStart w:id="32" w:name="八、一般公共预算财政拨款基本支出决算表"/>
      <w:bookmarkEnd w:id="32"/>
      <w:r>
        <w:t>八、一般公共预算财政拨款基本支出决算表</w:t>
      </w:r>
      <w:bookmarkStart w:id="33" w:name="九、一般公共预算财政拨款项目支出决算表"/>
      <w:bookmarkEnd w:id="33"/>
      <w:r>
        <w:t>九、一般公共预算财政拨款项目支出决算表</w:t>
      </w:r>
    </w:p>
    <w:p>
      <w:pPr>
        <w:pStyle w:val="4"/>
        <w:spacing w:line="518" w:lineRule="auto"/>
        <w:ind w:right="1265"/>
      </w:pPr>
      <w:bookmarkStart w:id="34" w:name="十、一般公共预算财政拨款“三公”经费支出决算表"/>
      <w:bookmarkEnd w:id="34"/>
      <w:r>
        <w:t>十、一般公共预算财政拨款“三公”经费支出决算表</w:t>
      </w:r>
      <w:bookmarkStart w:id="35" w:name="十一、政府性基金预算财政拨款收入支出决算表"/>
      <w:bookmarkEnd w:id="35"/>
      <w:r>
        <w:t>十一、政府性基金预算财政拨款收入支出决算表</w:t>
      </w:r>
    </w:p>
    <w:p>
      <w:pPr>
        <w:pStyle w:val="4"/>
        <w:spacing w:line="516" w:lineRule="auto"/>
        <w:ind w:right="625"/>
      </w:pPr>
      <w:bookmarkStart w:id="36" w:name="十二、政府性基金预算财政拨款“三公”经费支出决算表"/>
      <w:bookmarkEnd w:id="36"/>
      <w:r>
        <w:t>十二、政府性基金预算财政拨款“三公”经费支出决算表</w:t>
      </w:r>
      <w:bookmarkStart w:id="37" w:name="十三、国有资本经营预算财政拨款收入支出决算表"/>
      <w:bookmarkEnd w:id="37"/>
      <w:r>
        <w:t>十三、国有资本经营预算财政拨款收入支出决算表</w:t>
      </w:r>
    </w:p>
    <w:p>
      <w:pPr>
        <w:pStyle w:val="4"/>
      </w:pPr>
      <w:r>
        <w:t>十四、国有资本经营预算财政拨款支出决算表</w:t>
      </w:r>
    </w:p>
    <w:sectPr>
      <w:pgSz w:w="11910" w:h="16840"/>
      <w:pgMar w:top="1580" w:right="1480" w:bottom="1380" w:left="1660" w:header="0" w:footer="119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49" o:spid="_x0000_s2049" o:spt="202" type="#_x0000_t202" style="position:absolute;left:0pt;margin-left:489.9pt;margin-top:771.3pt;height:11pt;width:16.2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1</w:t>
                </w:r>
                <w:r>
                  <w:fldChar w:fldCharType="end"/>
                </w:r>
                <w:r>
                  <w:rPr>
                    <w:rFonts w:ascii="Calibri"/>
                    <w:sz w:val="1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0" o:spid="_x0000_s2050" o:spt="202" type="#_x0000_t202" style="position:absolute;left:0pt;margin-left:89.2pt;margin-top:771.3pt;height:11pt;width:16.2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2</w:t>
                </w:r>
                <w:r>
                  <w:fldChar w:fldCharType="end"/>
                </w:r>
                <w:r>
                  <w:rPr>
                    <w:rFonts w:ascii="Calibri"/>
                    <w:sz w:val="1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2" o:spid="_x0000_s2052" o:spt="202" type="#_x0000_t202" style="position:absolute;left:0pt;margin-left:485.35pt;margin-top:771.3pt;height:11pt;width:20.6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11</w:t>
                </w:r>
                <w:r>
                  <w:fldChar w:fldCharType="end"/>
                </w:r>
                <w:r>
                  <w:rPr>
                    <w:rFonts w:ascii="Calibri"/>
                    <w:sz w:val="1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1" o:spid="_x0000_s2051" o:spt="202" type="#_x0000_t202" style="position:absolute;left:0pt;margin-left:89.2pt;margin-top:771.3pt;height:11pt;width:20.75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10</w:t>
                </w:r>
                <w:r>
                  <w:fldChar w:fldCharType="end"/>
                </w:r>
                <w:r>
                  <w:rPr>
                    <w:rFonts w:ascii="Calibri"/>
                    <w:sz w:val="1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1"/>
      <w:numFmt w:val="decimal"/>
      <w:lvlText w:val="%1."/>
      <w:lvlJc w:val="left"/>
      <w:pPr>
        <w:ind w:left="140" w:hanging="485"/>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1002" w:hanging="485"/>
      </w:pPr>
      <w:rPr>
        <w:rFonts w:hint="default"/>
        <w:lang w:val="zh-CN" w:eastAsia="zh-CN" w:bidi="zh-CN"/>
      </w:rPr>
    </w:lvl>
    <w:lvl w:ilvl="2" w:tentative="0">
      <w:start w:val="0"/>
      <w:numFmt w:val="bullet"/>
      <w:lvlText w:val="•"/>
      <w:lvlJc w:val="left"/>
      <w:pPr>
        <w:ind w:left="1865" w:hanging="485"/>
      </w:pPr>
      <w:rPr>
        <w:rFonts w:hint="default"/>
        <w:lang w:val="zh-CN" w:eastAsia="zh-CN" w:bidi="zh-CN"/>
      </w:rPr>
    </w:lvl>
    <w:lvl w:ilvl="3" w:tentative="0">
      <w:start w:val="0"/>
      <w:numFmt w:val="bullet"/>
      <w:lvlText w:val="•"/>
      <w:lvlJc w:val="left"/>
      <w:pPr>
        <w:ind w:left="2727" w:hanging="485"/>
      </w:pPr>
      <w:rPr>
        <w:rFonts w:hint="default"/>
        <w:lang w:val="zh-CN" w:eastAsia="zh-CN" w:bidi="zh-CN"/>
      </w:rPr>
    </w:lvl>
    <w:lvl w:ilvl="4" w:tentative="0">
      <w:start w:val="0"/>
      <w:numFmt w:val="bullet"/>
      <w:lvlText w:val="•"/>
      <w:lvlJc w:val="left"/>
      <w:pPr>
        <w:ind w:left="3590" w:hanging="485"/>
      </w:pPr>
      <w:rPr>
        <w:rFonts w:hint="default"/>
        <w:lang w:val="zh-CN" w:eastAsia="zh-CN" w:bidi="zh-CN"/>
      </w:rPr>
    </w:lvl>
    <w:lvl w:ilvl="5" w:tentative="0">
      <w:start w:val="0"/>
      <w:numFmt w:val="bullet"/>
      <w:lvlText w:val="•"/>
      <w:lvlJc w:val="left"/>
      <w:pPr>
        <w:ind w:left="4453" w:hanging="485"/>
      </w:pPr>
      <w:rPr>
        <w:rFonts w:hint="default"/>
        <w:lang w:val="zh-CN" w:eastAsia="zh-CN" w:bidi="zh-CN"/>
      </w:rPr>
    </w:lvl>
    <w:lvl w:ilvl="6" w:tentative="0">
      <w:start w:val="0"/>
      <w:numFmt w:val="bullet"/>
      <w:lvlText w:val="•"/>
      <w:lvlJc w:val="left"/>
      <w:pPr>
        <w:ind w:left="5315" w:hanging="485"/>
      </w:pPr>
      <w:rPr>
        <w:rFonts w:hint="default"/>
        <w:lang w:val="zh-CN" w:eastAsia="zh-CN" w:bidi="zh-CN"/>
      </w:rPr>
    </w:lvl>
    <w:lvl w:ilvl="7" w:tentative="0">
      <w:start w:val="0"/>
      <w:numFmt w:val="bullet"/>
      <w:lvlText w:val="•"/>
      <w:lvlJc w:val="left"/>
      <w:pPr>
        <w:ind w:left="6178" w:hanging="485"/>
      </w:pPr>
      <w:rPr>
        <w:rFonts w:hint="default"/>
        <w:lang w:val="zh-CN" w:eastAsia="zh-CN" w:bidi="zh-CN"/>
      </w:rPr>
    </w:lvl>
    <w:lvl w:ilvl="8" w:tentative="0">
      <w:start w:val="0"/>
      <w:numFmt w:val="bullet"/>
      <w:lvlText w:val="•"/>
      <w:lvlJc w:val="left"/>
      <w:pPr>
        <w:ind w:left="7040" w:hanging="485"/>
      </w:pPr>
      <w:rPr>
        <w:rFonts w:hint="default"/>
        <w:lang w:val="zh-CN" w:eastAsia="zh-CN" w:bidi="zh-CN"/>
      </w:rPr>
    </w:lvl>
  </w:abstractNum>
  <w:abstractNum w:abstractNumId="1">
    <w:nsid w:val="B942F577"/>
    <w:multiLevelType w:val="singleLevel"/>
    <w:tmpl w:val="B942F577"/>
    <w:lvl w:ilvl="0" w:tentative="0">
      <w:start w:val="3"/>
      <w:numFmt w:val="chineseCounting"/>
      <w:suff w:val="nothing"/>
      <w:lvlText w:val="%1、"/>
      <w:lvlJc w:val="left"/>
      <w:rPr>
        <w:rFonts w:hint="eastAsia"/>
      </w:rPr>
    </w:lvl>
  </w:abstractNum>
  <w:abstractNum w:abstractNumId="2">
    <w:nsid w:val="BF205925"/>
    <w:multiLevelType w:val="multilevel"/>
    <w:tmpl w:val="BF205925"/>
    <w:lvl w:ilvl="0" w:tentative="0">
      <w:start w:val="1"/>
      <w:numFmt w:val="decimal"/>
      <w:lvlText w:val="%1."/>
      <w:lvlJc w:val="left"/>
      <w:pPr>
        <w:ind w:left="140"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1002" w:hanging="322"/>
      </w:pPr>
      <w:rPr>
        <w:rFonts w:hint="default"/>
        <w:lang w:val="zh-CN" w:eastAsia="zh-CN" w:bidi="zh-CN"/>
      </w:rPr>
    </w:lvl>
    <w:lvl w:ilvl="2" w:tentative="0">
      <w:start w:val="0"/>
      <w:numFmt w:val="bullet"/>
      <w:lvlText w:val="•"/>
      <w:lvlJc w:val="left"/>
      <w:pPr>
        <w:ind w:left="1865" w:hanging="322"/>
      </w:pPr>
      <w:rPr>
        <w:rFonts w:hint="default"/>
        <w:lang w:val="zh-CN" w:eastAsia="zh-CN" w:bidi="zh-CN"/>
      </w:rPr>
    </w:lvl>
    <w:lvl w:ilvl="3" w:tentative="0">
      <w:start w:val="0"/>
      <w:numFmt w:val="bullet"/>
      <w:lvlText w:val="•"/>
      <w:lvlJc w:val="left"/>
      <w:pPr>
        <w:ind w:left="2727" w:hanging="322"/>
      </w:pPr>
      <w:rPr>
        <w:rFonts w:hint="default"/>
        <w:lang w:val="zh-CN" w:eastAsia="zh-CN" w:bidi="zh-CN"/>
      </w:rPr>
    </w:lvl>
    <w:lvl w:ilvl="4" w:tentative="0">
      <w:start w:val="0"/>
      <w:numFmt w:val="bullet"/>
      <w:lvlText w:val="•"/>
      <w:lvlJc w:val="left"/>
      <w:pPr>
        <w:ind w:left="3590" w:hanging="322"/>
      </w:pPr>
      <w:rPr>
        <w:rFonts w:hint="default"/>
        <w:lang w:val="zh-CN" w:eastAsia="zh-CN" w:bidi="zh-CN"/>
      </w:rPr>
    </w:lvl>
    <w:lvl w:ilvl="5" w:tentative="0">
      <w:start w:val="0"/>
      <w:numFmt w:val="bullet"/>
      <w:lvlText w:val="•"/>
      <w:lvlJc w:val="left"/>
      <w:pPr>
        <w:ind w:left="4453" w:hanging="322"/>
      </w:pPr>
      <w:rPr>
        <w:rFonts w:hint="default"/>
        <w:lang w:val="zh-CN" w:eastAsia="zh-CN" w:bidi="zh-CN"/>
      </w:rPr>
    </w:lvl>
    <w:lvl w:ilvl="6" w:tentative="0">
      <w:start w:val="0"/>
      <w:numFmt w:val="bullet"/>
      <w:lvlText w:val="•"/>
      <w:lvlJc w:val="left"/>
      <w:pPr>
        <w:ind w:left="5315" w:hanging="322"/>
      </w:pPr>
      <w:rPr>
        <w:rFonts w:hint="default"/>
        <w:lang w:val="zh-CN" w:eastAsia="zh-CN" w:bidi="zh-CN"/>
      </w:rPr>
    </w:lvl>
    <w:lvl w:ilvl="7" w:tentative="0">
      <w:start w:val="0"/>
      <w:numFmt w:val="bullet"/>
      <w:lvlText w:val="•"/>
      <w:lvlJc w:val="left"/>
      <w:pPr>
        <w:ind w:left="6178" w:hanging="322"/>
      </w:pPr>
      <w:rPr>
        <w:rFonts w:hint="default"/>
        <w:lang w:val="zh-CN" w:eastAsia="zh-CN" w:bidi="zh-CN"/>
      </w:rPr>
    </w:lvl>
    <w:lvl w:ilvl="8" w:tentative="0">
      <w:start w:val="0"/>
      <w:numFmt w:val="bullet"/>
      <w:lvlText w:val="•"/>
      <w:lvlJc w:val="left"/>
      <w:pPr>
        <w:ind w:left="7040" w:hanging="322"/>
      </w:pPr>
      <w:rPr>
        <w:rFonts w:hint="default"/>
        <w:lang w:val="zh-CN" w:eastAsia="zh-CN" w:bidi="zh-CN"/>
      </w:rPr>
    </w:lvl>
  </w:abstractNum>
  <w:abstractNum w:abstractNumId="3">
    <w:nsid w:val="CF092B84"/>
    <w:multiLevelType w:val="multilevel"/>
    <w:tmpl w:val="CF092B84"/>
    <w:lvl w:ilvl="0" w:tentative="0">
      <w:start w:val="95"/>
      <w:numFmt w:val="decimal"/>
      <w:lvlText w:val="%1"/>
      <w:lvlJc w:val="left"/>
      <w:pPr>
        <w:ind w:left="946" w:hanging="807"/>
        <w:jc w:val="left"/>
      </w:pPr>
      <w:rPr>
        <w:rFonts w:hint="default"/>
        <w:lang w:val="zh-CN" w:eastAsia="zh-CN" w:bidi="zh-CN"/>
      </w:rPr>
    </w:lvl>
    <w:lvl w:ilvl="1" w:tentative="0">
      <w:start w:val="89"/>
      <w:numFmt w:val="decimal"/>
      <w:lvlText w:val="%1.%2"/>
      <w:lvlJc w:val="left"/>
      <w:pPr>
        <w:ind w:left="946" w:hanging="807"/>
        <w:jc w:val="left"/>
      </w:pPr>
      <w:rPr>
        <w:rFonts w:hint="default" w:ascii="仿宋" w:hAnsi="仿宋" w:eastAsia="仿宋" w:cs="仿宋"/>
        <w:b/>
        <w:bCs/>
        <w:spacing w:val="1"/>
        <w:w w:val="98"/>
        <w:sz w:val="30"/>
        <w:szCs w:val="30"/>
        <w:lang w:val="zh-CN" w:eastAsia="zh-CN" w:bidi="zh-CN"/>
      </w:rPr>
    </w:lvl>
    <w:lvl w:ilvl="2" w:tentative="0">
      <w:start w:val="1"/>
      <w:numFmt w:val="decimal"/>
      <w:lvlText w:val="%3."/>
      <w:lvlJc w:val="left"/>
      <w:pPr>
        <w:ind w:left="140" w:hanging="322"/>
        <w:jc w:val="left"/>
      </w:pPr>
      <w:rPr>
        <w:rFonts w:hint="default" w:ascii="仿宋" w:hAnsi="仿宋" w:eastAsia="仿宋" w:cs="仿宋"/>
        <w:b/>
        <w:bCs/>
        <w:spacing w:val="1"/>
        <w:w w:val="98"/>
        <w:sz w:val="30"/>
        <w:szCs w:val="30"/>
        <w:lang w:val="zh-CN" w:eastAsia="zh-CN" w:bidi="zh-CN"/>
      </w:rPr>
    </w:lvl>
    <w:lvl w:ilvl="3" w:tentative="0">
      <w:start w:val="0"/>
      <w:numFmt w:val="bullet"/>
      <w:lvlText w:val="•"/>
      <w:lvlJc w:val="left"/>
      <w:pPr>
        <w:ind w:left="2679" w:hanging="322"/>
      </w:pPr>
      <w:rPr>
        <w:rFonts w:hint="default"/>
        <w:lang w:val="zh-CN" w:eastAsia="zh-CN" w:bidi="zh-CN"/>
      </w:rPr>
    </w:lvl>
    <w:lvl w:ilvl="4" w:tentative="0">
      <w:start w:val="0"/>
      <w:numFmt w:val="bullet"/>
      <w:lvlText w:val="•"/>
      <w:lvlJc w:val="left"/>
      <w:pPr>
        <w:ind w:left="3548" w:hanging="322"/>
      </w:pPr>
      <w:rPr>
        <w:rFonts w:hint="default"/>
        <w:lang w:val="zh-CN" w:eastAsia="zh-CN" w:bidi="zh-CN"/>
      </w:rPr>
    </w:lvl>
    <w:lvl w:ilvl="5" w:tentative="0">
      <w:start w:val="0"/>
      <w:numFmt w:val="bullet"/>
      <w:lvlText w:val="•"/>
      <w:lvlJc w:val="left"/>
      <w:pPr>
        <w:ind w:left="4418" w:hanging="322"/>
      </w:pPr>
      <w:rPr>
        <w:rFonts w:hint="default"/>
        <w:lang w:val="zh-CN" w:eastAsia="zh-CN" w:bidi="zh-CN"/>
      </w:rPr>
    </w:lvl>
    <w:lvl w:ilvl="6" w:tentative="0">
      <w:start w:val="0"/>
      <w:numFmt w:val="bullet"/>
      <w:lvlText w:val="•"/>
      <w:lvlJc w:val="left"/>
      <w:pPr>
        <w:ind w:left="5287" w:hanging="322"/>
      </w:pPr>
      <w:rPr>
        <w:rFonts w:hint="default"/>
        <w:lang w:val="zh-CN" w:eastAsia="zh-CN" w:bidi="zh-CN"/>
      </w:rPr>
    </w:lvl>
    <w:lvl w:ilvl="7" w:tentative="0">
      <w:start w:val="0"/>
      <w:numFmt w:val="bullet"/>
      <w:lvlText w:val="•"/>
      <w:lvlJc w:val="left"/>
      <w:pPr>
        <w:ind w:left="6157" w:hanging="322"/>
      </w:pPr>
      <w:rPr>
        <w:rFonts w:hint="default"/>
        <w:lang w:val="zh-CN" w:eastAsia="zh-CN" w:bidi="zh-CN"/>
      </w:rPr>
    </w:lvl>
    <w:lvl w:ilvl="8" w:tentative="0">
      <w:start w:val="0"/>
      <w:numFmt w:val="bullet"/>
      <w:lvlText w:val="•"/>
      <w:lvlJc w:val="left"/>
      <w:pPr>
        <w:ind w:left="7026" w:hanging="322"/>
      </w:pPr>
      <w:rPr>
        <w:rFonts w:hint="default"/>
        <w:lang w:val="zh-CN" w:eastAsia="zh-CN" w:bidi="zh-CN"/>
      </w:rPr>
    </w:lvl>
  </w:abstractNum>
  <w:abstractNum w:abstractNumId="4">
    <w:nsid w:val="0053208E"/>
    <w:multiLevelType w:val="multilevel"/>
    <w:tmpl w:val="0053208E"/>
    <w:lvl w:ilvl="0" w:tentative="0">
      <w:start w:val="1"/>
      <w:numFmt w:val="decimal"/>
      <w:lvlText w:val="%1."/>
      <w:lvlJc w:val="left"/>
      <w:pPr>
        <w:ind w:left="1102" w:hanging="322"/>
        <w:jc w:val="left"/>
      </w:pPr>
      <w:rPr>
        <w:rFonts w:hint="default" w:ascii="仿宋" w:hAnsi="仿宋" w:eastAsia="仿宋" w:cs="仿宋"/>
        <w:b/>
        <w:bCs/>
        <w:spacing w:val="1"/>
        <w:w w:val="98"/>
        <w:sz w:val="30"/>
        <w:szCs w:val="30"/>
        <w:lang w:val="zh-CN" w:eastAsia="zh-CN" w:bidi="zh-CN"/>
      </w:rPr>
    </w:lvl>
    <w:lvl w:ilvl="1" w:tentative="0">
      <w:start w:val="0"/>
      <w:numFmt w:val="bullet"/>
      <w:lvlText w:val="•"/>
      <w:lvlJc w:val="left"/>
      <w:pPr>
        <w:ind w:left="1866" w:hanging="322"/>
      </w:pPr>
      <w:rPr>
        <w:rFonts w:hint="default"/>
        <w:lang w:val="zh-CN" w:eastAsia="zh-CN" w:bidi="zh-CN"/>
      </w:rPr>
    </w:lvl>
    <w:lvl w:ilvl="2" w:tentative="0">
      <w:start w:val="0"/>
      <w:numFmt w:val="bullet"/>
      <w:lvlText w:val="•"/>
      <w:lvlJc w:val="left"/>
      <w:pPr>
        <w:ind w:left="2633" w:hanging="322"/>
      </w:pPr>
      <w:rPr>
        <w:rFonts w:hint="default"/>
        <w:lang w:val="zh-CN" w:eastAsia="zh-CN" w:bidi="zh-CN"/>
      </w:rPr>
    </w:lvl>
    <w:lvl w:ilvl="3" w:tentative="0">
      <w:start w:val="0"/>
      <w:numFmt w:val="bullet"/>
      <w:lvlText w:val="•"/>
      <w:lvlJc w:val="left"/>
      <w:pPr>
        <w:ind w:left="3399" w:hanging="322"/>
      </w:pPr>
      <w:rPr>
        <w:rFonts w:hint="default"/>
        <w:lang w:val="zh-CN" w:eastAsia="zh-CN" w:bidi="zh-CN"/>
      </w:rPr>
    </w:lvl>
    <w:lvl w:ilvl="4" w:tentative="0">
      <w:start w:val="0"/>
      <w:numFmt w:val="bullet"/>
      <w:lvlText w:val="•"/>
      <w:lvlJc w:val="left"/>
      <w:pPr>
        <w:ind w:left="4166" w:hanging="322"/>
      </w:pPr>
      <w:rPr>
        <w:rFonts w:hint="default"/>
        <w:lang w:val="zh-CN" w:eastAsia="zh-CN" w:bidi="zh-CN"/>
      </w:rPr>
    </w:lvl>
    <w:lvl w:ilvl="5" w:tentative="0">
      <w:start w:val="0"/>
      <w:numFmt w:val="bullet"/>
      <w:lvlText w:val="•"/>
      <w:lvlJc w:val="left"/>
      <w:pPr>
        <w:ind w:left="4933" w:hanging="322"/>
      </w:pPr>
      <w:rPr>
        <w:rFonts w:hint="default"/>
        <w:lang w:val="zh-CN" w:eastAsia="zh-CN" w:bidi="zh-CN"/>
      </w:rPr>
    </w:lvl>
    <w:lvl w:ilvl="6" w:tentative="0">
      <w:start w:val="0"/>
      <w:numFmt w:val="bullet"/>
      <w:lvlText w:val="•"/>
      <w:lvlJc w:val="left"/>
      <w:pPr>
        <w:ind w:left="5699" w:hanging="322"/>
      </w:pPr>
      <w:rPr>
        <w:rFonts w:hint="default"/>
        <w:lang w:val="zh-CN" w:eastAsia="zh-CN" w:bidi="zh-CN"/>
      </w:rPr>
    </w:lvl>
    <w:lvl w:ilvl="7" w:tentative="0">
      <w:start w:val="0"/>
      <w:numFmt w:val="bullet"/>
      <w:lvlText w:val="•"/>
      <w:lvlJc w:val="left"/>
      <w:pPr>
        <w:ind w:left="6466" w:hanging="322"/>
      </w:pPr>
      <w:rPr>
        <w:rFonts w:hint="default"/>
        <w:lang w:val="zh-CN" w:eastAsia="zh-CN" w:bidi="zh-CN"/>
      </w:rPr>
    </w:lvl>
    <w:lvl w:ilvl="8" w:tentative="0">
      <w:start w:val="0"/>
      <w:numFmt w:val="bullet"/>
      <w:lvlText w:val="•"/>
      <w:lvlJc w:val="left"/>
      <w:pPr>
        <w:ind w:left="7232" w:hanging="322"/>
      </w:pPr>
      <w:rPr>
        <w:rFonts w:hint="default"/>
        <w:lang w:val="zh-CN" w:eastAsia="zh-CN" w:bidi="zh-CN"/>
      </w:rPr>
    </w:lvl>
  </w:abstractNum>
  <w:abstractNum w:abstractNumId="5">
    <w:nsid w:val="59ADCABA"/>
    <w:multiLevelType w:val="multilevel"/>
    <w:tmpl w:val="59ADCABA"/>
    <w:lvl w:ilvl="0" w:tentative="0">
      <w:start w:val="1"/>
      <w:numFmt w:val="decimal"/>
      <w:lvlText w:val="%1."/>
      <w:lvlJc w:val="left"/>
      <w:pPr>
        <w:ind w:left="140" w:hanging="322"/>
        <w:jc w:val="left"/>
      </w:pPr>
      <w:rPr>
        <w:rFonts w:hint="default" w:ascii="仿宋" w:hAnsi="仿宋" w:eastAsia="仿宋" w:cs="仿宋"/>
        <w:b/>
        <w:bCs/>
        <w:spacing w:val="1"/>
        <w:w w:val="98"/>
        <w:sz w:val="30"/>
        <w:szCs w:val="30"/>
        <w:lang w:val="zh-CN" w:eastAsia="zh-CN" w:bidi="zh-CN"/>
      </w:rPr>
    </w:lvl>
    <w:lvl w:ilvl="1" w:tentative="0">
      <w:start w:val="0"/>
      <w:numFmt w:val="bullet"/>
      <w:lvlText w:val="•"/>
      <w:lvlJc w:val="left"/>
      <w:pPr>
        <w:ind w:left="1002" w:hanging="322"/>
      </w:pPr>
      <w:rPr>
        <w:rFonts w:hint="default"/>
        <w:lang w:val="zh-CN" w:eastAsia="zh-CN" w:bidi="zh-CN"/>
      </w:rPr>
    </w:lvl>
    <w:lvl w:ilvl="2" w:tentative="0">
      <w:start w:val="0"/>
      <w:numFmt w:val="bullet"/>
      <w:lvlText w:val="•"/>
      <w:lvlJc w:val="left"/>
      <w:pPr>
        <w:ind w:left="1865" w:hanging="322"/>
      </w:pPr>
      <w:rPr>
        <w:rFonts w:hint="default"/>
        <w:lang w:val="zh-CN" w:eastAsia="zh-CN" w:bidi="zh-CN"/>
      </w:rPr>
    </w:lvl>
    <w:lvl w:ilvl="3" w:tentative="0">
      <w:start w:val="0"/>
      <w:numFmt w:val="bullet"/>
      <w:lvlText w:val="•"/>
      <w:lvlJc w:val="left"/>
      <w:pPr>
        <w:ind w:left="2727" w:hanging="322"/>
      </w:pPr>
      <w:rPr>
        <w:rFonts w:hint="default"/>
        <w:lang w:val="zh-CN" w:eastAsia="zh-CN" w:bidi="zh-CN"/>
      </w:rPr>
    </w:lvl>
    <w:lvl w:ilvl="4" w:tentative="0">
      <w:start w:val="0"/>
      <w:numFmt w:val="bullet"/>
      <w:lvlText w:val="•"/>
      <w:lvlJc w:val="left"/>
      <w:pPr>
        <w:ind w:left="3590" w:hanging="322"/>
      </w:pPr>
      <w:rPr>
        <w:rFonts w:hint="default"/>
        <w:lang w:val="zh-CN" w:eastAsia="zh-CN" w:bidi="zh-CN"/>
      </w:rPr>
    </w:lvl>
    <w:lvl w:ilvl="5" w:tentative="0">
      <w:start w:val="0"/>
      <w:numFmt w:val="bullet"/>
      <w:lvlText w:val="•"/>
      <w:lvlJc w:val="left"/>
      <w:pPr>
        <w:ind w:left="4453" w:hanging="322"/>
      </w:pPr>
      <w:rPr>
        <w:rFonts w:hint="default"/>
        <w:lang w:val="zh-CN" w:eastAsia="zh-CN" w:bidi="zh-CN"/>
      </w:rPr>
    </w:lvl>
    <w:lvl w:ilvl="6" w:tentative="0">
      <w:start w:val="0"/>
      <w:numFmt w:val="bullet"/>
      <w:lvlText w:val="•"/>
      <w:lvlJc w:val="left"/>
      <w:pPr>
        <w:ind w:left="5315" w:hanging="322"/>
      </w:pPr>
      <w:rPr>
        <w:rFonts w:hint="default"/>
        <w:lang w:val="zh-CN" w:eastAsia="zh-CN" w:bidi="zh-CN"/>
      </w:rPr>
    </w:lvl>
    <w:lvl w:ilvl="7" w:tentative="0">
      <w:start w:val="0"/>
      <w:numFmt w:val="bullet"/>
      <w:lvlText w:val="•"/>
      <w:lvlJc w:val="left"/>
      <w:pPr>
        <w:ind w:left="6178" w:hanging="322"/>
      </w:pPr>
      <w:rPr>
        <w:rFonts w:hint="default"/>
        <w:lang w:val="zh-CN" w:eastAsia="zh-CN" w:bidi="zh-CN"/>
      </w:rPr>
    </w:lvl>
    <w:lvl w:ilvl="8" w:tentative="0">
      <w:start w:val="0"/>
      <w:numFmt w:val="bullet"/>
      <w:lvlText w:val="•"/>
      <w:lvlJc w:val="left"/>
      <w:pPr>
        <w:ind w:left="7040" w:hanging="322"/>
      </w:pPr>
      <w:rPr>
        <w:rFonts w:hint="default"/>
        <w:lang w:val="zh-CN" w:eastAsia="zh-CN" w:bidi="zh-CN"/>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NzNhMmQzYzQ4NjdiNDYzZWU5YjQyZWNmMDgxMDUwOGMifQ=="/>
  </w:docVars>
  <w:rsids>
    <w:rsidRoot w:val="00000000"/>
    <w:rsid w:val="01D56E02"/>
    <w:rsid w:val="18672F9A"/>
    <w:rsid w:val="1CC2281A"/>
    <w:rsid w:val="381C0D7E"/>
    <w:rsid w:val="62BA13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23"/>
      <w:ind w:left="1305" w:right="1482"/>
      <w:jc w:val="center"/>
      <w:outlineLvl w:val="1"/>
    </w:pPr>
    <w:rPr>
      <w:rFonts w:ascii="黑体" w:hAnsi="黑体" w:eastAsia="黑体" w:cs="黑体"/>
      <w:sz w:val="44"/>
      <w:szCs w:val="44"/>
      <w:lang w:val="zh-CN" w:eastAsia="zh-CN" w:bidi="zh-CN"/>
    </w:rPr>
  </w:style>
  <w:style w:type="paragraph" w:styleId="3">
    <w:name w:val="heading 2"/>
    <w:basedOn w:val="1"/>
    <w:next w:val="1"/>
    <w:qFormat/>
    <w:uiPriority w:val="1"/>
    <w:pPr>
      <w:ind w:left="780" w:hanging="323"/>
      <w:outlineLvl w:val="2"/>
    </w:pPr>
    <w:rPr>
      <w:rFonts w:ascii="仿宋" w:hAnsi="仿宋" w:eastAsia="仿宋" w:cs="仿宋"/>
      <w:b/>
      <w:bCs/>
      <w:sz w:val="32"/>
      <w:szCs w:val="32"/>
      <w:lang w:val="zh-CN" w:eastAsia="zh-CN" w:bidi="zh-CN"/>
    </w:rPr>
  </w:style>
  <w:style w:type="character" w:default="1" w:styleId="7">
    <w:name w:val="Default Paragraph Font"/>
    <w:semiHidden/>
    <w:unhideWhenUsed/>
    <w:qFormat/>
    <w:uiPriority w:val="1"/>
  </w:style>
  <w:style w:type="table" w:default="1" w:styleId="6">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ind w:left="140"/>
    </w:pPr>
    <w:rPr>
      <w:rFonts w:ascii="仿宋" w:hAnsi="仿宋" w:eastAsia="仿宋" w:cs="仿宋"/>
      <w:sz w:val="32"/>
      <w:szCs w:val="32"/>
      <w:lang w:val="zh-CN" w:eastAsia="zh-CN" w:bidi="zh-CN"/>
    </w:rPr>
  </w:style>
  <w:style w:type="paragraph" w:styleId="5">
    <w:name w:val="toc 1"/>
    <w:basedOn w:val="1"/>
    <w:next w:val="1"/>
    <w:qFormat/>
    <w:uiPriority w:val="1"/>
    <w:pPr>
      <w:spacing w:before="132"/>
      <w:ind w:left="140"/>
    </w:pPr>
    <w:rPr>
      <w:rFonts w:ascii="宋体" w:hAnsi="宋体" w:eastAsia="宋体" w:cs="宋体"/>
      <w:sz w:val="24"/>
      <w:szCs w:val="24"/>
      <w:lang w:val="zh-CN" w:eastAsia="zh-CN" w:bidi="zh-CN"/>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40" w:firstLine="640"/>
    </w:pPr>
    <w:rPr>
      <w:rFonts w:ascii="仿宋" w:hAnsi="仿宋" w:eastAsia="仿宋" w:cs="仿宋"/>
      <w:lang w:val="zh-CN" w:eastAsia="zh-CN" w:bidi="zh-CN"/>
    </w:rPr>
  </w:style>
  <w:style w:type="paragraph" w:customStyle="1" w:styleId="10">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7621</Words>
  <Characters>8187</Characters>
  <TotalTime>2</TotalTime>
  <ScaleCrop>false</ScaleCrop>
  <LinksUpToDate>false</LinksUpToDate>
  <CharactersWithSpaces>8766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2022-11-11T12:58:00Z</dcterms:created>
  <dc:creator>曹颖</dc:creator>
  <cp:lastModifiedBy>朱小仙</cp:lastModifiedBy>
  <dcterms:modified xsi:type="dcterms:W3CDTF">2022-11-11T13:29:35Z</dcterms:modified>
  <dc:title>四川省***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WPS 文字</vt:lpwstr>
  </property>
  <property fmtid="{D5CDD505-2E9C-101B-9397-08002B2CF9AE}" pid="4" name="LastSaved">
    <vt:filetime>2022-11-11T00:00:00Z</vt:filetime>
  </property>
  <property fmtid="{D5CDD505-2E9C-101B-9397-08002B2CF9AE}" pid="5" name="KSOProductBuildVer">
    <vt:lpwstr>2052-11.1.0.12763</vt:lpwstr>
  </property>
  <property fmtid="{D5CDD505-2E9C-101B-9397-08002B2CF9AE}" pid="6" name="ICV">
    <vt:lpwstr>D0828B8DA30A45B7863C85C4BBB1D8D5</vt:lpwstr>
  </property>
</Properties>
</file>