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77193"/>
      <w:bookmarkStart w:id="4" w:name="_Toc15377425"/>
      <w:bookmarkStart w:id="5" w:name="_Toc15396475"/>
      <w:r>
        <w:rPr>
          <w:rFonts w:ascii="黑体" w:hAnsi="黑体" w:eastAsia="黑体"/>
          <w:color w:val="000000"/>
          <w:sz w:val="72"/>
          <w:szCs w:val="72"/>
        </w:rPr>
        <w:t>20</w:t>
      </w:r>
      <w:r>
        <w:rPr>
          <w:rFonts w:hint="eastAsia" w:ascii="黑体" w:hAnsi="黑体" w:eastAsia="黑体"/>
          <w:color w:val="000000"/>
          <w:sz w:val="72"/>
          <w:szCs w:val="72"/>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96476"/>
      <w:bookmarkStart w:id="8" w:name="_Toc15377194"/>
      <w:bookmarkStart w:id="9" w:name="_Toc15377426"/>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rPr>
        <w:t>人民政府</w:t>
      </w:r>
      <w:r>
        <w:rPr>
          <w:rFonts w:ascii="方正小标宋简体" w:hAnsi="宋体" w:eastAsia="方正小标宋简体"/>
          <w:color w:val="000000"/>
          <w:sz w:val="72"/>
          <w:szCs w:val="72"/>
        </w:rPr>
        <w:t>驻上海办事处</w:t>
      </w:r>
      <w:r>
        <w:rPr>
          <w:rFonts w:hint="eastAsia" w:ascii="方正小标宋简体" w:hAnsi="宋体" w:eastAsia="方正小标宋简体"/>
          <w:color w:val="000000"/>
          <w:sz w:val="72"/>
          <w:szCs w:val="72"/>
        </w:rPr>
        <w:t>单位决算</w:t>
      </w:r>
      <w:bookmarkEnd w:id="6"/>
      <w:bookmarkEnd w:id="7"/>
      <w:bookmarkEnd w:id="8"/>
      <w:bookmarkEnd w:id="9"/>
      <w:bookmarkEnd w:id="10"/>
      <w:bookmarkEnd w:id="11"/>
    </w:p>
    <w:p>
      <w:pPr>
        <w:widowControl/>
        <w:spacing w:line="578" w:lineRule="exact"/>
        <w:jc w:val="center"/>
        <w:rPr>
          <w:rFonts w:ascii="方正小标宋简体" w:hAnsi="黑体" w:eastAsia="方正小标宋简体"/>
          <w:color w:val="000000"/>
          <w:sz w:val="48"/>
          <w:szCs w:val="48"/>
        </w:rPr>
      </w:pPr>
      <w:r>
        <w:rPr>
          <w:rFonts w:ascii="方正小标宋简体" w:hAnsi="宋体" w:eastAsia="方正小标宋简体"/>
          <w:color w:val="000000"/>
          <w:sz w:val="36"/>
          <w:szCs w:val="36"/>
        </w:rPr>
        <w:br w:type="page"/>
      </w:r>
      <w:r>
        <w:rPr>
          <w:rFonts w:hint="eastAsia" w:ascii="方正小标宋简体" w:hAnsi="黑体" w:eastAsia="方正小标宋简体"/>
          <w:color w:val="000000"/>
          <w:sz w:val="48"/>
          <w:szCs w:val="48"/>
        </w:rPr>
        <w:t>目  录</w:t>
      </w:r>
    </w:p>
    <w:p>
      <w:pPr>
        <w:pStyle w:val="10"/>
        <w:spacing w:line="440" w:lineRule="exact"/>
        <w:rPr>
          <w:rFonts w:ascii="Times New Roman" w:hAnsi="Times New Roman"/>
          <w:b/>
        </w:rPr>
      </w:pPr>
      <w:r>
        <w:rPr>
          <w:rFonts w:ascii="Times New Roman"/>
          <w:b/>
        </w:rPr>
        <w:t>公开时间：</w:t>
      </w:r>
      <w:r>
        <w:rPr>
          <w:rFonts w:ascii="Times New Roman" w:hAnsi="Times New Roman"/>
          <w:b/>
        </w:rPr>
        <w:t>2021</w:t>
      </w:r>
      <w:r>
        <w:rPr>
          <w:rFonts w:ascii="Times New Roman"/>
          <w:b/>
        </w:rPr>
        <w:t>年</w:t>
      </w:r>
      <w:r>
        <w:rPr>
          <w:rFonts w:ascii="Times New Roman" w:hAnsi="Times New Roman"/>
          <w:b/>
        </w:rPr>
        <w:t>9</w:t>
      </w:r>
      <w:r>
        <w:rPr>
          <w:rFonts w:ascii="Times New Roman"/>
          <w:b/>
        </w:rPr>
        <w:t>月</w:t>
      </w:r>
      <w:r>
        <w:rPr>
          <w:rFonts w:ascii="Times New Roman" w:hAnsi="Times New Roman"/>
          <w:b/>
        </w:rPr>
        <w:t>10</w:t>
      </w:r>
      <w:r>
        <w:rPr>
          <w:rFonts w:ascii="Times New Roman"/>
          <w:b/>
        </w:rPr>
        <w:t>日</w:t>
      </w:r>
    </w:p>
    <w:p>
      <w:pPr>
        <w:spacing w:line="578" w:lineRule="exact"/>
      </w:pPr>
    </w:p>
    <w:p>
      <w:pPr>
        <w:pStyle w:val="10"/>
        <w:adjustRightInd w:val="0"/>
        <w:snapToGrid w:val="0"/>
        <w:spacing w:before="0" w:line="440" w:lineRule="exact"/>
        <w:jc w:val="both"/>
        <w:rPr>
          <w:rFonts w:ascii="Times New Roman" w:hAnsi="Times New Roman" w:eastAsia="黑体"/>
          <w:color w:val="000000" w:themeColor="text1"/>
          <w:sz w:val="24"/>
          <w:szCs w:val="24"/>
        </w:rPr>
      </w:pPr>
      <w:r>
        <w:rPr>
          <w:rFonts w:hint="eastAsia" w:ascii="黑体" w:hAnsi="黑体" w:eastAsia="黑体"/>
          <w:color w:val="000000" w:themeColor="text1"/>
          <w:sz w:val="24"/>
        </w:rPr>
        <w:t xml:space="preserve">第一部分单位概况 </w:t>
      </w:r>
      <w:r>
        <w:rPr>
          <w:rFonts w:ascii="Times New Roman" w:hAnsi="Times New Roman"/>
          <w:color w:val="000000" w:themeColor="text1"/>
          <w:sz w:val="24"/>
        </w:rPr>
        <w:t>………………………………………………………………… 1</w:t>
      </w:r>
    </w:p>
    <w:p>
      <w:pPr>
        <w:pStyle w:val="11"/>
        <w:adjustRightInd w:val="0"/>
        <w:snapToGrid w:val="0"/>
        <w:spacing w:line="440" w:lineRule="exact"/>
        <w:ind w:left="0" w:leftChars="0"/>
        <w:rPr>
          <w:color w:val="000000" w:themeColor="text1"/>
          <w:sz w:val="24"/>
        </w:rPr>
      </w:pPr>
      <w:r>
        <w:rPr>
          <w:color w:val="000000" w:themeColor="text1"/>
          <w:sz w:val="24"/>
        </w:rPr>
        <w:t>一、职能简介 ……………………………………………………………………… 1</w:t>
      </w:r>
    </w:p>
    <w:p>
      <w:pPr>
        <w:pStyle w:val="11"/>
        <w:adjustRightInd w:val="0"/>
        <w:snapToGrid w:val="0"/>
        <w:spacing w:line="440" w:lineRule="exact"/>
        <w:ind w:left="0" w:leftChars="0"/>
        <w:rPr>
          <w:color w:val="000000" w:themeColor="text1"/>
          <w:sz w:val="24"/>
        </w:rPr>
      </w:pPr>
      <w:r>
        <w:rPr>
          <w:rFonts w:eastAsiaTheme="minorEastAsia"/>
          <w:color w:val="000000" w:themeColor="text1"/>
          <w:sz w:val="24"/>
        </w:rPr>
        <w:t xml:space="preserve">二、2020年重点工作完成情况 </w:t>
      </w:r>
      <w:r>
        <w:rPr>
          <w:color w:val="000000" w:themeColor="text1"/>
          <w:sz w:val="24"/>
        </w:rPr>
        <w:t>…………………………………………………... 2</w:t>
      </w:r>
    </w:p>
    <w:p>
      <w:pPr>
        <w:rPr>
          <w:rFonts w:hint="default" w:eastAsia="宋体"/>
          <w:lang w:val="en" w:eastAsia="zh-CN"/>
        </w:rPr>
      </w:pPr>
      <w:bookmarkStart w:id="66" w:name="_GoBack"/>
      <w:bookmarkEnd w:id="66"/>
      <w:r>
        <w:rPr>
          <w:rFonts w:hint="eastAsia"/>
          <w:color w:val="000000" w:themeColor="text1"/>
          <w:sz w:val="24"/>
          <w:lang w:eastAsia="zh-CN"/>
        </w:rPr>
        <w:t>三、机构设置</w:t>
      </w:r>
      <w:r>
        <w:rPr>
          <w:rFonts w:hint="default"/>
          <w:color w:val="000000" w:themeColor="text1"/>
          <w:sz w:val="24"/>
          <w:lang w:val="en" w:eastAsia="zh-CN"/>
        </w:rPr>
        <w:t>...............................................................................................................5</w:t>
      </w:r>
    </w:p>
    <w:p>
      <w:pPr>
        <w:pStyle w:val="10"/>
        <w:adjustRightInd w:val="0"/>
        <w:snapToGrid w:val="0"/>
        <w:spacing w:before="0" w:line="440" w:lineRule="exact"/>
        <w:jc w:val="both"/>
        <w:rPr>
          <w:rFonts w:ascii="Times New Roman" w:hAnsi="Times New Roman" w:eastAsia="黑体"/>
          <w:color w:val="000000" w:themeColor="text1"/>
          <w:sz w:val="24"/>
        </w:rPr>
      </w:pPr>
      <w:r>
        <w:rPr>
          <w:rFonts w:ascii="Times New Roman" w:hAnsi="Times New Roman" w:eastAsia="黑体"/>
          <w:color w:val="000000" w:themeColor="text1"/>
          <w:sz w:val="24"/>
        </w:rPr>
        <w:t>第二部分 2020年度单位决算情况说明</w:t>
      </w:r>
      <w:r>
        <w:rPr>
          <w:rFonts w:ascii="Times New Roman" w:hAnsi="Times New Roman"/>
          <w:color w:val="000000" w:themeColor="text1"/>
          <w:sz w:val="24"/>
        </w:rPr>
        <w:t>…………………………………………... 6</w:t>
      </w:r>
    </w:p>
    <w:p>
      <w:pPr>
        <w:pStyle w:val="11"/>
        <w:adjustRightInd w:val="0"/>
        <w:snapToGrid w:val="0"/>
        <w:spacing w:line="440" w:lineRule="exact"/>
        <w:ind w:left="0" w:leftChars="0"/>
        <w:rPr>
          <w:rFonts w:eastAsia="仿宋"/>
          <w:color w:val="000000" w:themeColor="text1"/>
          <w:sz w:val="24"/>
        </w:rPr>
      </w:pPr>
      <w:r>
        <w:rPr>
          <w:color w:val="000000" w:themeColor="text1"/>
          <w:sz w:val="24"/>
        </w:rPr>
        <w:t>一、收入支出决算总体情况说明………………………………………………….. 6</w:t>
      </w:r>
    </w:p>
    <w:p>
      <w:pPr>
        <w:pStyle w:val="11"/>
        <w:adjustRightInd w:val="0"/>
        <w:snapToGrid w:val="0"/>
        <w:spacing w:line="440" w:lineRule="exact"/>
        <w:ind w:left="0" w:leftChars="0"/>
        <w:rPr>
          <w:rFonts w:eastAsia="仿宋"/>
          <w:color w:val="000000" w:themeColor="text1"/>
          <w:sz w:val="24"/>
        </w:rPr>
      </w:pPr>
      <w:r>
        <w:rPr>
          <w:color w:val="000000" w:themeColor="text1"/>
          <w:sz w:val="24"/>
        </w:rPr>
        <w:t>二、收入决算情况说明…………………………………………………………….. 6</w:t>
      </w:r>
    </w:p>
    <w:p>
      <w:pPr>
        <w:pStyle w:val="11"/>
        <w:adjustRightInd w:val="0"/>
        <w:snapToGrid w:val="0"/>
        <w:spacing w:line="440" w:lineRule="exact"/>
        <w:ind w:left="0" w:leftChars="0"/>
        <w:jc w:val="left"/>
        <w:rPr>
          <w:rFonts w:eastAsia="仿宋"/>
          <w:color w:val="000000" w:themeColor="text1"/>
          <w:sz w:val="24"/>
        </w:rPr>
      </w:pPr>
      <w:r>
        <w:rPr>
          <w:color w:val="000000" w:themeColor="text1"/>
          <w:sz w:val="24"/>
        </w:rPr>
        <w:t>三、支出决算情况说明…………………………………………………………….. 7</w:t>
      </w:r>
    </w:p>
    <w:p>
      <w:pPr>
        <w:pStyle w:val="11"/>
        <w:adjustRightInd w:val="0"/>
        <w:snapToGrid w:val="0"/>
        <w:spacing w:line="440" w:lineRule="exact"/>
        <w:ind w:left="0" w:leftChars="0"/>
        <w:jc w:val="left"/>
        <w:rPr>
          <w:rFonts w:eastAsia="仿宋"/>
          <w:color w:val="000000" w:themeColor="text1"/>
          <w:sz w:val="24"/>
        </w:rPr>
      </w:pPr>
      <w:r>
        <w:rPr>
          <w:color w:val="000000" w:themeColor="text1"/>
          <w:sz w:val="24"/>
        </w:rPr>
        <w:t>四、财政拨款收入支出决算总体情况说明……………………………………….. 8</w:t>
      </w:r>
    </w:p>
    <w:p>
      <w:pPr>
        <w:pStyle w:val="11"/>
        <w:adjustRightInd w:val="0"/>
        <w:snapToGrid w:val="0"/>
        <w:spacing w:line="440" w:lineRule="exact"/>
        <w:ind w:left="0" w:leftChars="0"/>
        <w:jc w:val="left"/>
        <w:rPr>
          <w:rFonts w:eastAsia="仿宋"/>
          <w:color w:val="000000" w:themeColor="text1"/>
          <w:sz w:val="24"/>
        </w:rPr>
      </w:pPr>
      <w:r>
        <w:rPr>
          <w:color w:val="000000" w:themeColor="text1"/>
          <w:sz w:val="24"/>
        </w:rPr>
        <w:t>五、一般公共预算财政拨款支出决算情况说明………………………………….. 8</w:t>
      </w:r>
    </w:p>
    <w:p>
      <w:pPr>
        <w:pStyle w:val="11"/>
        <w:adjustRightInd w:val="0"/>
        <w:snapToGrid w:val="0"/>
        <w:spacing w:line="440" w:lineRule="exact"/>
        <w:ind w:left="0" w:leftChars="0"/>
        <w:jc w:val="left"/>
        <w:rPr>
          <w:rFonts w:eastAsia="仿宋"/>
          <w:color w:val="000000" w:themeColor="text1"/>
          <w:sz w:val="24"/>
        </w:rPr>
      </w:pPr>
      <w:r>
        <w:rPr>
          <w:color w:val="000000" w:themeColor="text1"/>
          <w:sz w:val="24"/>
        </w:rPr>
        <w:t>六、一般公共预算财政拨款基本支出决算情况说明…………………………….</w:t>
      </w:r>
      <w:r>
        <w:rPr>
          <w:rFonts w:hint="eastAsia"/>
          <w:color w:val="000000" w:themeColor="text1"/>
          <w:sz w:val="24"/>
        </w:rPr>
        <w:t xml:space="preserve"> </w:t>
      </w:r>
      <w:r>
        <w:rPr>
          <w:color w:val="000000" w:themeColor="text1"/>
          <w:sz w:val="24"/>
        </w:rPr>
        <w:t>11</w:t>
      </w:r>
    </w:p>
    <w:p>
      <w:pPr>
        <w:pStyle w:val="11"/>
        <w:adjustRightInd w:val="0"/>
        <w:snapToGrid w:val="0"/>
        <w:spacing w:line="440" w:lineRule="exact"/>
        <w:ind w:left="0" w:leftChars="0"/>
        <w:jc w:val="left"/>
        <w:rPr>
          <w:rFonts w:eastAsia="仿宋"/>
          <w:color w:val="000000" w:themeColor="text1"/>
          <w:sz w:val="24"/>
        </w:rPr>
      </w:pPr>
      <w:r>
        <w:rPr>
          <w:color w:val="000000" w:themeColor="text1"/>
          <w:sz w:val="24"/>
        </w:rPr>
        <w:t>七、“三公”经费财政拨款支出决算情况说明……………………………………</w:t>
      </w:r>
      <w:r>
        <w:rPr>
          <w:rFonts w:hint="eastAsia"/>
          <w:color w:val="000000" w:themeColor="text1"/>
          <w:sz w:val="24"/>
        </w:rPr>
        <w:t xml:space="preserve">. </w:t>
      </w:r>
      <w:r>
        <w:rPr>
          <w:color w:val="000000" w:themeColor="text1"/>
          <w:sz w:val="24"/>
        </w:rPr>
        <w:t>12</w:t>
      </w:r>
    </w:p>
    <w:p>
      <w:pPr>
        <w:pStyle w:val="11"/>
        <w:adjustRightInd w:val="0"/>
        <w:snapToGrid w:val="0"/>
        <w:spacing w:line="440" w:lineRule="exact"/>
        <w:ind w:left="0" w:leftChars="0"/>
        <w:jc w:val="left"/>
        <w:rPr>
          <w:rFonts w:eastAsia="仿宋"/>
          <w:color w:val="000000" w:themeColor="text1"/>
          <w:sz w:val="24"/>
        </w:rPr>
      </w:pPr>
      <w:r>
        <w:rPr>
          <w:color w:val="000000" w:themeColor="text1"/>
          <w:sz w:val="24"/>
        </w:rPr>
        <w:t>八、政府性基金预算支出决算情况说明…………………………………………. 13</w:t>
      </w:r>
    </w:p>
    <w:p>
      <w:pPr>
        <w:pStyle w:val="11"/>
        <w:adjustRightInd w:val="0"/>
        <w:snapToGrid w:val="0"/>
        <w:spacing w:line="440" w:lineRule="exact"/>
        <w:ind w:left="0" w:leftChars="0"/>
        <w:jc w:val="left"/>
        <w:rPr>
          <w:color w:val="000000" w:themeColor="text1"/>
          <w:sz w:val="24"/>
        </w:rPr>
      </w:pPr>
      <w:r>
        <w:rPr>
          <w:color w:val="000000" w:themeColor="text1"/>
          <w:sz w:val="24"/>
        </w:rPr>
        <w:t>九、国有资本经营预算支出决算情况说明………………………………………. 13</w:t>
      </w:r>
    </w:p>
    <w:p>
      <w:pPr>
        <w:pStyle w:val="11"/>
        <w:adjustRightInd w:val="0"/>
        <w:snapToGrid w:val="0"/>
        <w:spacing w:line="440" w:lineRule="exact"/>
        <w:ind w:left="0" w:leftChars="0"/>
        <w:jc w:val="left"/>
        <w:rPr>
          <w:color w:val="000000" w:themeColor="text1"/>
          <w:sz w:val="24"/>
        </w:rPr>
      </w:pPr>
      <w:r>
        <w:rPr>
          <w:color w:val="000000" w:themeColor="text1"/>
          <w:sz w:val="24"/>
        </w:rPr>
        <w:t>十、其他重要事项的情况说明……………………………………………………. 14</w:t>
      </w:r>
    </w:p>
    <w:p>
      <w:pPr>
        <w:pStyle w:val="10"/>
        <w:adjustRightInd w:val="0"/>
        <w:snapToGrid w:val="0"/>
        <w:spacing w:before="0" w:line="440" w:lineRule="exact"/>
        <w:jc w:val="left"/>
        <w:rPr>
          <w:rFonts w:ascii="Times New Roman" w:hAnsi="Times New Roman" w:eastAsia="黑体"/>
          <w:color w:val="000000" w:themeColor="text1"/>
          <w:sz w:val="24"/>
        </w:rPr>
      </w:pPr>
      <w:r>
        <w:rPr>
          <w:rFonts w:ascii="Times New Roman" w:hAnsi="黑体" w:eastAsia="黑体"/>
          <w:color w:val="000000" w:themeColor="text1"/>
          <w:sz w:val="24"/>
        </w:rPr>
        <w:t>第三部分名词解释</w:t>
      </w:r>
      <w:r>
        <w:rPr>
          <w:rFonts w:ascii="Times New Roman" w:hAnsi="Times New Roman"/>
          <w:color w:val="000000" w:themeColor="text1"/>
          <w:sz w:val="24"/>
        </w:rPr>
        <w:t>…………………………………………………………………. 15</w:t>
      </w:r>
    </w:p>
    <w:p>
      <w:pPr>
        <w:pStyle w:val="10"/>
        <w:adjustRightInd w:val="0"/>
        <w:snapToGrid w:val="0"/>
        <w:spacing w:before="0" w:line="440" w:lineRule="exact"/>
        <w:jc w:val="left"/>
        <w:rPr>
          <w:rFonts w:ascii="Times New Roman" w:hAnsi="Times New Roman" w:eastAsia="黑体"/>
          <w:color w:val="000000" w:themeColor="text1"/>
          <w:sz w:val="24"/>
        </w:rPr>
      </w:pPr>
      <w:r>
        <w:rPr>
          <w:rFonts w:ascii="Times New Roman" w:hAnsi="黑体" w:eastAsia="黑体"/>
          <w:color w:val="000000" w:themeColor="text1"/>
          <w:sz w:val="24"/>
        </w:rPr>
        <w:t>第四部分附件</w:t>
      </w:r>
      <w:r>
        <w:rPr>
          <w:rFonts w:ascii="Times New Roman" w:hAnsi="Times New Roman"/>
          <w:color w:val="000000" w:themeColor="text1"/>
          <w:sz w:val="24"/>
        </w:rPr>
        <w:t>………………………………………………………………………. 18</w:t>
      </w:r>
    </w:p>
    <w:p>
      <w:pPr>
        <w:pStyle w:val="10"/>
        <w:adjustRightInd w:val="0"/>
        <w:snapToGrid w:val="0"/>
        <w:spacing w:before="0" w:line="440" w:lineRule="exact"/>
        <w:jc w:val="left"/>
        <w:rPr>
          <w:rFonts w:ascii="Times New Roman" w:hAnsi="Times New Roman" w:eastAsia="黑体"/>
          <w:color w:val="000000" w:themeColor="text1"/>
          <w:sz w:val="24"/>
        </w:rPr>
      </w:pPr>
      <w:r>
        <w:rPr>
          <w:rFonts w:ascii="Times New Roman" w:hAnsi="Times New Roman" w:eastAsia="黑体"/>
          <w:color w:val="000000" w:themeColor="text1"/>
          <w:sz w:val="24"/>
        </w:rPr>
        <w:t>第五部分附表</w:t>
      </w:r>
      <w:r>
        <w:rPr>
          <w:rFonts w:ascii="Times New Roman" w:hAnsi="Times New Roman"/>
          <w:color w:val="000000" w:themeColor="text1"/>
          <w:sz w:val="24"/>
        </w:rPr>
        <w:t>………………………………………………………………………. 18</w:t>
      </w:r>
    </w:p>
    <w:p>
      <w:pPr>
        <w:pStyle w:val="11"/>
        <w:adjustRightInd w:val="0"/>
        <w:snapToGrid w:val="0"/>
        <w:spacing w:line="440" w:lineRule="exact"/>
        <w:ind w:left="0" w:leftChars="0"/>
        <w:jc w:val="left"/>
        <w:rPr>
          <w:rFonts w:eastAsiaTheme="minorEastAsia"/>
          <w:sz w:val="24"/>
        </w:rPr>
      </w:pPr>
      <w:r>
        <w:rPr>
          <w:rFonts w:hAnsiTheme="minorEastAsia" w:eastAsiaTheme="minorEastAsia"/>
          <w:sz w:val="24"/>
        </w:rPr>
        <w:t>一、收入支出决算总表</w:t>
      </w:r>
      <w:r>
        <w:rPr>
          <w:rFonts w:eastAsia="仿宋"/>
          <w:color w:val="000000" w:themeColor="text1"/>
          <w:sz w:val="24"/>
          <w:szCs w:val="28"/>
        </w:rPr>
        <w:t>……………………………………………………………. 1</w:t>
      </w:r>
      <w:r>
        <w:rPr>
          <w:rFonts w:eastAsiaTheme="minorEastAsia"/>
          <w:sz w:val="24"/>
        </w:rPr>
        <w:t>8</w:t>
      </w:r>
    </w:p>
    <w:p>
      <w:pPr>
        <w:pStyle w:val="10"/>
        <w:adjustRightInd w:val="0"/>
        <w:snapToGrid w:val="0"/>
        <w:spacing w:before="0" w:line="440" w:lineRule="exact"/>
        <w:jc w:val="left"/>
        <w:rPr>
          <w:rFonts w:ascii="Times New Roman" w:hAnsi="Times New Roman" w:eastAsiaTheme="minorEastAsia"/>
          <w:color w:val="000000" w:themeColor="text1"/>
          <w:sz w:val="24"/>
        </w:rPr>
      </w:pPr>
      <w:r>
        <w:rPr>
          <w:rFonts w:ascii="Times New Roman" w:hAnsiTheme="minorEastAsia" w:eastAsiaTheme="minorEastAsia"/>
          <w:sz w:val="24"/>
        </w:rPr>
        <w:t>二、收入决算表</w:t>
      </w:r>
      <w:r>
        <w:rPr>
          <w:rFonts w:ascii="Times New Roman" w:hAnsi="Times New Roman"/>
          <w:color w:val="000000" w:themeColor="text1"/>
          <w:sz w:val="24"/>
        </w:rPr>
        <w:t>…………………………………………………………………….</w:t>
      </w:r>
      <w:r>
        <w:rPr>
          <w:rFonts w:ascii="Times New Roman" w:hAnsi="Times New Roman" w:eastAsiaTheme="minorEastAsia"/>
          <w:sz w:val="24"/>
        </w:rPr>
        <w:t xml:space="preserve"> 18</w:t>
      </w:r>
    </w:p>
    <w:p>
      <w:pPr>
        <w:pStyle w:val="10"/>
        <w:adjustRightInd w:val="0"/>
        <w:snapToGrid w:val="0"/>
        <w:spacing w:before="0" w:line="440" w:lineRule="exact"/>
        <w:jc w:val="left"/>
        <w:rPr>
          <w:rFonts w:ascii="Times New Roman" w:hAnsi="Times New Roman" w:eastAsia="黑体"/>
          <w:color w:val="000000" w:themeColor="text1"/>
          <w:sz w:val="24"/>
        </w:rPr>
      </w:pPr>
      <w:r>
        <w:rPr>
          <w:rFonts w:ascii="Times New Roman" w:hAnsiTheme="minorEastAsia" w:eastAsiaTheme="minorEastAsia"/>
          <w:sz w:val="24"/>
        </w:rPr>
        <w:t>三、支出决算表</w:t>
      </w:r>
      <w:r>
        <w:rPr>
          <w:rFonts w:ascii="Times New Roman" w:hAnsi="Times New Roman"/>
          <w:color w:val="000000" w:themeColor="text1"/>
          <w:sz w:val="24"/>
        </w:rPr>
        <w:t>…………………………………………………………………….</w:t>
      </w:r>
      <w:r>
        <w:rPr>
          <w:rFonts w:ascii="Times New Roman" w:hAnsi="Times New Roman" w:eastAsiaTheme="minorEastAsia"/>
          <w:sz w:val="24"/>
        </w:rPr>
        <w:t xml:space="preserve"> 18</w:t>
      </w:r>
    </w:p>
    <w:p>
      <w:pPr>
        <w:pStyle w:val="11"/>
        <w:adjustRightInd w:val="0"/>
        <w:snapToGrid w:val="0"/>
        <w:spacing w:line="440" w:lineRule="exact"/>
        <w:ind w:left="0" w:leftChars="0"/>
        <w:jc w:val="left"/>
        <w:rPr>
          <w:sz w:val="24"/>
        </w:rPr>
      </w:pPr>
      <w:r>
        <w:rPr>
          <w:sz w:val="24"/>
        </w:rPr>
        <w:t>四、财政拨款收入支出决算总表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五、财政拨款支出决算明细表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color w:val="000000" w:themeColor="text1"/>
          <w:sz w:val="24"/>
        </w:rPr>
      </w:pPr>
      <w:r>
        <w:rPr>
          <w:sz w:val="24"/>
        </w:rPr>
        <w:t>六、一般公共预算财政拨款支出决算表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七、一般公共预算财政拨款支出决算明细表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八、一般公共预算财政拨款基本支出决算表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九、一般公共预算财政拨款项目支出决算表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十、一般公共预算财政拨款“三公”经费支出决算表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十一、政府性基金预算财政拨款收入支出决算表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十二、政府性基金预算财政拨款“三公”经费支出决算表</w:t>
      </w:r>
      <w:r>
        <w:rPr>
          <w:rFonts w:eastAsia="仿宋"/>
          <w:color w:val="000000" w:themeColor="text1"/>
          <w:sz w:val="24"/>
        </w:rPr>
        <w:t>………………</w:t>
      </w:r>
      <w:r>
        <w:rPr>
          <w:rFonts w:hint="eastAsia" w:eastAsia="仿宋"/>
          <w:color w:val="000000" w:themeColor="text1"/>
          <w:sz w:val="24"/>
        </w:rPr>
        <w:t>.</w:t>
      </w:r>
      <w:r>
        <w:rPr>
          <w:rFonts w:eastAsia="仿宋"/>
          <w:color w:val="000000" w:themeColor="text1"/>
          <w:sz w:val="24"/>
        </w:rPr>
        <w:t>…</w:t>
      </w:r>
      <w:r>
        <w:rPr>
          <w:color w:val="000000" w:themeColor="text1"/>
          <w:sz w:val="24"/>
        </w:rPr>
        <w:t>…</w:t>
      </w:r>
      <w:r>
        <w:rPr>
          <w:rFonts w:hint="eastAsia"/>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十三、国有资本经营预算财政拨款收入支出决算表</w:t>
      </w:r>
      <w:r>
        <w:rPr>
          <w:rFonts w:eastAsia="仿宋"/>
          <w:color w:val="000000" w:themeColor="text1"/>
          <w:sz w:val="24"/>
        </w:rPr>
        <w:t>…………………………</w:t>
      </w:r>
      <w:r>
        <w:rPr>
          <w:color w:val="000000" w:themeColor="text1"/>
          <w:sz w:val="24"/>
        </w:rPr>
        <w:t>.</w:t>
      </w:r>
      <w:r>
        <w:rPr>
          <w:rFonts w:eastAsiaTheme="minorEastAsia"/>
          <w:sz w:val="24"/>
        </w:rPr>
        <w:t xml:space="preserve"> 18</w:t>
      </w:r>
    </w:p>
    <w:p>
      <w:pPr>
        <w:pStyle w:val="11"/>
        <w:adjustRightInd w:val="0"/>
        <w:snapToGrid w:val="0"/>
        <w:spacing w:line="440" w:lineRule="exact"/>
        <w:ind w:left="0" w:leftChars="0"/>
        <w:jc w:val="left"/>
        <w:rPr>
          <w:sz w:val="24"/>
        </w:rPr>
      </w:pPr>
      <w:r>
        <w:rPr>
          <w:sz w:val="24"/>
        </w:rPr>
        <w:t>十四、国有资本经营预算财政拨款支出决算表</w:t>
      </w:r>
      <w:r>
        <w:rPr>
          <w:rFonts w:eastAsia="仿宋"/>
          <w:color w:val="000000" w:themeColor="text1"/>
          <w:sz w:val="24"/>
        </w:rPr>
        <w:t>………………………………</w:t>
      </w:r>
      <w:r>
        <w:rPr>
          <w:color w:val="000000" w:themeColor="text1"/>
          <w:sz w:val="24"/>
        </w:rPr>
        <w:t>.</w:t>
      </w:r>
      <w:r>
        <w:rPr>
          <w:rFonts w:eastAsiaTheme="minorEastAsia"/>
          <w:sz w:val="24"/>
        </w:rPr>
        <w:t xml:space="preserve"> 18</w:t>
      </w:r>
    </w:p>
    <w:p>
      <w:pPr>
        <w:widowControl/>
        <w:adjustRightInd w:val="0"/>
        <w:snapToGrid w:val="0"/>
        <w:spacing w:line="440" w:lineRule="exact"/>
        <w:ind w:firstLine="1325" w:firstLineChars="550"/>
        <w:jc w:val="left"/>
        <w:rPr>
          <w:rFonts w:ascii="仿宋" w:hAnsi="仿宋" w:eastAsia="仿宋"/>
          <w:b/>
          <w:sz w:val="24"/>
        </w:rPr>
      </w:pPr>
      <w:bookmarkStart w:id="12" w:name="_Toc15377196"/>
      <w:bookmarkStart w:id="13" w:name="_Toc15396599"/>
    </w:p>
    <w:p>
      <w:pPr>
        <w:pStyle w:val="2"/>
        <w:spacing w:before="93"/>
        <w:sectPr>
          <w:footerReference r:id="rId6" w:type="first"/>
          <w:headerReference r:id="rId3" w:type="default"/>
          <w:footerReference r:id="rId4" w:type="default"/>
          <w:footerReference r:id="rId5" w:type="even"/>
          <w:pgSz w:w="11906" w:h="16838"/>
          <w:pgMar w:top="1440" w:right="1800" w:bottom="1440" w:left="1800" w:header="851" w:footer="992" w:gutter="0"/>
          <w:pgNumType w:fmt="numberInDash" w:start="1"/>
          <w:cols w:space="425" w:num="1"/>
          <w:titlePg/>
          <w:docGrid w:type="lines" w:linePitch="312" w:charSpace="0"/>
        </w:sectPr>
      </w:pPr>
    </w:p>
    <w:p>
      <w:pPr>
        <w:pStyle w:val="3"/>
        <w:spacing w:before="0" w:after="0" w:line="600" w:lineRule="exact"/>
        <w:jc w:val="center"/>
        <w:rPr>
          <w:rStyle w:val="24"/>
          <w:rFonts w:ascii="黑体" w:hAnsi="黑体" w:eastAsia="黑体"/>
          <w:b w:val="0"/>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spacing w:line="600" w:lineRule="exact"/>
      </w:pPr>
    </w:p>
    <w:p>
      <w:pPr>
        <w:pStyle w:val="4"/>
        <w:numPr>
          <w:ilvl w:val="0"/>
          <w:numId w:val="1"/>
        </w:numPr>
        <w:spacing w:before="0" w:after="0" w:line="600" w:lineRule="exact"/>
        <w:ind w:firstLine="640" w:firstLineChars="200"/>
        <w:rPr>
          <w:rStyle w:val="25"/>
          <w:rFonts w:ascii="黑体" w:hAnsi="黑体" w:eastAsia="黑体"/>
          <w:b w:val="0"/>
          <w:bCs w:val="0"/>
          <w:color w:val="000000" w:themeColor="text1"/>
        </w:rPr>
      </w:pPr>
      <w:bookmarkStart w:id="14" w:name="_Toc15396600"/>
      <w:bookmarkStart w:id="15" w:name="_Toc15377197"/>
      <w:r>
        <w:rPr>
          <w:rStyle w:val="25"/>
          <w:rFonts w:hint="eastAsia" w:ascii="黑体" w:hAnsi="黑体" w:eastAsia="黑体"/>
          <w:b w:val="0"/>
          <w:bCs w:val="0"/>
          <w:color w:val="000000" w:themeColor="text1"/>
        </w:rPr>
        <w:t>职能简介</w:t>
      </w:r>
    </w:p>
    <w:p>
      <w:pPr>
        <w:spacing w:line="600" w:lineRule="exact"/>
        <w:ind w:firstLine="640" w:firstLineChars="200"/>
        <w:rPr>
          <w:rFonts w:ascii="仿宋" w:hAnsi="仿宋" w:eastAsia="仿宋"/>
          <w:color w:val="0D0D0D"/>
          <w:sz w:val="32"/>
          <w:szCs w:val="32"/>
        </w:rPr>
      </w:pPr>
      <w:r>
        <w:rPr>
          <w:rFonts w:hint="eastAsia" w:ascii="仿宋" w:hAnsi="仿宋" w:eastAsia="仿宋"/>
          <w:color w:val="0D0D0D"/>
          <w:sz w:val="32"/>
          <w:szCs w:val="32"/>
        </w:rPr>
        <w:t>四川驻沪办受省政府委托行使职权，负责联系上海、江苏、浙江、安徽、山东、湖北、河南等六省一市。</w:t>
      </w:r>
      <w:r>
        <w:rPr>
          <w:rFonts w:hint="eastAsia" w:ascii="仿宋" w:hAnsi="仿宋" w:eastAsia="仿宋"/>
          <w:color w:val="0D0D0D"/>
          <w:kern w:val="0"/>
          <w:sz w:val="32"/>
          <w:szCs w:val="32"/>
        </w:rPr>
        <w:t>一是</w:t>
      </w:r>
      <w:r>
        <w:rPr>
          <w:rFonts w:hint="eastAsia" w:ascii="仿宋" w:hAnsi="仿宋" w:eastAsia="仿宋"/>
          <w:color w:val="0D0D0D"/>
          <w:sz w:val="32"/>
          <w:szCs w:val="32"/>
        </w:rPr>
        <w:t>促进经济合作。围绕省委、省政府的工作部署和我省经济建设中心工作，组织实施充分开放合作战略，推进区域经济合作；加强与所联系区域的重点企业的联系，加强投资意向的收集、分析、对接，开展投资促进工作；配合我省投资促进重大活动，搭建专业化合作平台，为省级部门、市（州）和重点园区开展投资促进活动提供服务；二是开展政务和信息服务。开展专题调研和信息工作，及时准确向省委、省政府及省直有关部门提供联系区域政治、经济、社会信息，为省委、省政府决策提供参考依据；负责与联系区域的党委、政府及有关部门的联系，促进区域间的相互了解和友好往来；参与我省与联系区域之间重大政务活动的组织、协调和服务工作；协助联系区域党组织对我省流动党员的管理和党建工作；指导我省驻外机构、商（协）会工作。三是承担劳务服务工作。承担劳务调研和服务、川籍农民工管理、突发事件处置等工作；维护我省各类组织机构和人员在联系区域的合法权益，协助调解劳务纠纷；参与劳务输出和结构性劳动力回流有关工作；四是承办省委、省政府和主管部门交办的其他事宜。</w:t>
      </w:r>
    </w:p>
    <w:p>
      <w:pPr>
        <w:spacing w:line="600" w:lineRule="exact"/>
      </w:pPr>
    </w:p>
    <w:p>
      <w:pPr>
        <w:pStyle w:val="4"/>
        <w:numPr>
          <w:ilvl w:val="0"/>
          <w:numId w:val="1"/>
        </w:numPr>
        <w:spacing w:before="0" w:after="0" w:line="600" w:lineRule="exact"/>
        <w:ind w:firstLine="640" w:firstLineChars="200"/>
        <w:rPr>
          <w:rFonts w:ascii="黑体" w:hAnsi="黑体" w:eastAsia="黑体"/>
          <w:b w:val="0"/>
          <w:color w:val="000000" w:themeColor="text1"/>
        </w:rPr>
      </w:pPr>
      <w:r>
        <w:rPr>
          <w:rFonts w:hint="eastAsia" w:ascii="黑体" w:hAnsi="黑体" w:eastAsia="黑体"/>
          <w:b w:val="0"/>
          <w:color w:val="000000" w:themeColor="text1"/>
        </w:rPr>
        <w:t>2020年重点工作</w:t>
      </w:r>
      <w:bookmarkEnd w:id="14"/>
      <w:bookmarkEnd w:id="15"/>
      <w:r>
        <w:rPr>
          <w:rFonts w:hint="eastAsia" w:ascii="黑体" w:hAnsi="黑体" w:eastAsia="黑体"/>
          <w:b w:val="0"/>
          <w:color w:val="000000" w:themeColor="text1"/>
        </w:rPr>
        <w:t>完成情况</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1、讲政治学理论，学以致用有新思路</w:t>
      </w:r>
    </w:p>
    <w:p>
      <w:pPr>
        <w:spacing w:line="600" w:lineRule="exact"/>
        <w:ind w:firstLine="640" w:firstLineChars="200"/>
        <w:rPr>
          <w:rFonts w:ascii="仿宋" w:hAnsi="仿宋" w:eastAsia="仿宋"/>
          <w:sz w:val="32"/>
          <w:szCs w:val="32"/>
        </w:rPr>
      </w:pPr>
      <w:r>
        <w:rPr>
          <w:rFonts w:hint="eastAsia" w:ascii="仿宋" w:hAnsi="仿宋" w:eastAsia="仿宋"/>
          <w:bCs/>
          <w:color w:val="000000"/>
          <w:sz w:val="32"/>
          <w:szCs w:val="32"/>
        </w:rPr>
        <w:t>切实用党的创新理论武装头脑，持续深入学习习近平新时代中国特色社会主义思想、党的十九大和十九届三中、四中、五中全会精神以及习近平总书记考察四川、上海重要讲话精神，认真领会</w:t>
      </w:r>
      <w:r>
        <w:rPr>
          <w:rFonts w:hint="eastAsia" w:ascii="仿宋" w:hAnsi="仿宋" w:eastAsia="仿宋"/>
          <w:color w:val="000000"/>
          <w:sz w:val="32"/>
          <w:szCs w:val="32"/>
        </w:rPr>
        <w:t>省委十一届六次、七次、八次全会精神，</w:t>
      </w:r>
      <w:r>
        <w:rPr>
          <w:rFonts w:hint="eastAsia" w:ascii="仿宋" w:hAnsi="仿宋" w:eastAsia="仿宋"/>
          <w:bCs/>
          <w:color w:val="000000"/>
          <w:sz w:val="32"/>
          <w:szCs w:val="32"/>
        </w:rPr>
        <w:t>认真贯彻中央和国家机关党的建设工作会议、上海市市级机关党的建设工作会议精神，扎实抓好“四史”学习教育，确保“不忘初心、牢记使命”主题教育常态化长效化制度化，巩固“两学一做”学习教育成果。</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2、困中求进，服务全省开放合作战略有新作为</w:t>
      </w:r>
    </w:p>
    <w:p>
      <w:pPr>
        <w:spacing w:line="600" w:lineRule="exact"/>
        <w:ind w:firstLine="640" w:firstLineChars="200"/>
        <w:jc w:val="left"/>
        <w:rPr>
          <w:rFonts w:ascii="仿宋" w:hAnsi="仿宋" w:eastAsia="仿宋"/>
          <w:bCs/>
          <w:color w:val="000000" w:themeColor="text1"/>
          <w:sz w:val="32"/>
          <w:szCs w:val="32"/>
        </w:rPr>
      </w:pPr>
      <w:r>
        <w:rPr>
          <w:rFonts w:hint="eastAsia" w:ascii="仿宋" w:hAnsi="仿宋" w:eastAsia="仿宋"/>
          <w:bCs/>
          <w:color w:val="000000"/>
          <w:sz w:val="32"/>
          <w:szCs w:val="32"/>
        </w:rPr>
        <w:t>积极抢抓成渝地区双城经济圈建设、新时代西部大开发等国家重大区域发展战略机遇，贯彻“全省抓项目促投资现场会”会议精神，以“5+1”现代产业体系、“4+6”现代服务业体系、“10+3”现代农业产业体系为重点，着力引进重点产业和重点企业。全年</w:t>
      </w:r>
      <w:r>
        <w:rPr>
          <w:rFonts w:hint="eastAsia" w:ascii="仿宋" w:hAnsi="仿宋" w:eastAsia="仿宋"/>
          <w:bCs/>
          <w:color w:val="000000" w:themeColor="text1"/>
          <w:sz w:val="32"/>
          <w:szCs w:val="32"/>
        </w:rPr>
        <w:t>共引进项目233个，合同引资3795.06亿元，其中10亿元以上项目40个、30亿元以上项目16个、50亿元以上项目7个、100亿元以上项目13个；另有在谈项目68个，新增意向投资项目157个，整体成效好于去年。</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3、心手相连，服务保障农民工有新拓展</w:t>
      </w:r>
    </w:p>
    <w:p>
      <w:pPr>
        <w:spacing w:line="600" w:lineRule="exact"/>
        <w:ind w:firstLine="640" w:firstLineChars="200"/>
        <w:rPr>
          <w:rFonts w:ascii="仿宋" w:hAnsi="仿宋" w:eastAsia="仿宋"/>
          <w:sz w:val="32"/>
          <w:szCs w:val="32"/>
        </w:rPr>
      </w:pPr>
      <w:r>
        <w:rPr>
          <w:rFonts w:hint="eastAsia" w:ascii="仿宋" w:hAnsi="仿宋" w:eastAsia="仿宋"/>
          <w:color w:val="000000" w:themeColor="text1"/>
          <w:sz w:val="32"/>
          <w:szCs w:val="32"/>
        </w:rPr>
        <w:t>2020年以来，提供免费法律咨询1350人次，提供免费审核材料、代拟法律文书367份，协商解决劳资纠纷、工伤事故、侵权事件118起，涉及欠薪及各类赔偿2720余万元。</w:t>
      </w:r>
      <w:r>
        <w:rPr>
          <w:rFonts w:hint="eastAsia" w:ascii="仿宋" w:hAnsi="仿宋" w:eastAsia="仿宋"/>
          <w:sz w:val="32"/>
          <w:szCs w:val="32"/>
        </w:rPr>
        <w:t>接待川籍农民工来访31起，分别涉及劳务纠纷、工伤、交通意外、证照办理等。深入农民工集中的厂矿工地，广泛宣传《劳动法》《劳动合同法》《保障农民工工资支付条例》等法律法规，开展普法维权讲座6场次，发放维权资料400份，在网站、微信公众号、微信群等平台发送法律资讯与法律知识1000余条。协调中铁上海局向川籍农民工提供“上海-成都”、“上海-南充”和“上海-遂宁”三班返乡专列，保障2000名农民工安全返乡。全年看望慰问农民工4003人，为180名优秀农民工代表发放慰问金36000元。</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4、强化调研，信息工作有新成果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坚持突出前沿特色、突出上海自贸区经验、突出长三角一体化建设、突出经济产业分析、突出长三角创新发展“五突出”工作思路，撰写报送契合全省中心工作、重点任务的优质信息，服务全省战略实施、经济社会发展和领导决策。与复旦大学、上海财经大学等智库合作，拓展信息渠道；积极拜访江浙沪等地省（市）委政策研究室，建立信息交换工作机制，广泛收集产业发展、创新创造、投资促进、农民工服务保障等省委省政府关心关注的先进经验和举措；协同省委政研室组成联合调研组，积极对接长三角相关省市政研、发改、科技等部门以及内外资知名企业家、专家学者等，为我省制定“十四五”规划建言献策，形成《对四川“十四五”高质量发展的若干建议》《深入思与谋 开好“顶风船”—江浙沪皖谋划“十四五”发展的情况与启示》调研报告2篇。全年向省委办公厅、省政府政研室报送信息1800余条、专报信息92篇，向省经济合作局报送信息200余条。《领导参阅》采用我办信息140条，其中辖域内51条、辖域外89条。省政府信息采用得分363分，排名省政府驻外办事处（不含北京办）第一位。《江苏省规模家庭农场发展的“小杨模式”研究》、《关于加快竹产业现代化促进川竹高质量发展的对策建议》等文章被省委《每日要情》（增刊）采用，并呈送清华书记等主要领导参阅，得到小刚副书记批示。</w:t>
      </w:r>
    </w:p>
    <w:p>
      <w:pPr>
        <w:spacing w:line="600" w:lineRule="exact"/>
        <w:ind w:firstLine="642" w:firstLineChars="200"/>
        <w:rPr>
          <w:rFonts w:ascii="仿宋" w:hAnsi="仿宋" w:eastAsia="仿宋"/>
          <w:sz w:val="32"/>
          <w:szCs w:val="32"/>
        </w:rPr>
      </w:pPr>
      <w:r>
        <w:rPr>
          <w:rFonts w:hint="eastAsia" w:ascii="仿宋" w:hAnsi="仿宋" w:eastAsia="仿宋"/>
          <w:b/>
          <w:bCs/>
          <w:sz w:val="32"/>
          <w:szCs w:val="32"/>
        </w:rPr>
        <w:t>5、</w:t>
      </w:r>
      <w:r>
        <w:rPr>
          <w:rFonts w:ascii="仿宋" w:hAnsi="仿宋" w:eastAsia="仿宋"/>
          <w:b/>
          <w:bCs/>
          <w:sz w:val="32"/>
          <w:szCs w:val="32"/>
        </w:rPr>
        <w:t>真帮实扶，脱贫攻坚赢得新认同</w:t>
      </w:r>
    </w:p>
    <w:p>
      <w:pPr>
        <w:spacing w:line="600" w:lineRule="exact"/>
        <w:ind w:firstLine="629" w:firstLineChars="196"/>
        <w:rPr>
          <w:rFonts w:ascii="仿宋" w:hAnsi="仿宋" w:eastAsia="仿宋"/>
          <w:sz w:val="32"/>
          <w:szCs w:val="32"/>
        </w:rPr>
      </w:pPr>
      <w:r>
        <w:rPr>
          <w:rFonts w:ascii="仿宋" w:hAnsi="仿宋" w:eastAsia="仿宋"/>
          <w:b/>
          <w:bCs/>
          <w:sz w:val="32"/>
          <w:szCs w:val="32"/>
        </w:rPr>
        <w:t>一是</w:t>
      </w:r>
      <w:r>
        <w:rPr>
          <w:rFonts w:ascii="仿宋" w:hAnsi="仿宋" w:eastAsia="仿宋"/>
          <w:sz w:val="32"/>
          <w:szCs w:val="32"/>
        </w:rPr>
        <w:t>通过发动商会爱心企业认购、自筹资金订购等方式，在扶贫832网站等平台购买美姑、金阳、北川等地农特产品18.9万元，其中直接带动我办定点帮扶的美姑县峨曲古乡四基觉村集体经济增收5000元。</w:t>
      </w:r>
      <w:r>
        <w:rPr>
          <w:rFonts w:ascii="仿宋" w:hAnsi="仿宋" w:eastAsia="仿宋"/>
          <w:b/>
          <w:bCs/>
          <w:sz w:val="32"/>
          <w:szCs w:val="32"/>
        </w:rPr>
        <w:t>二是</w:t>
      </w:r>
      <w:r>
        <w:rPr>
          <w:rFonts w:ascii="仿宋" w:hAnsi="仿宋" w:eastAsia="仿宋"/>
          <w:sz w:val="32"/>
          <w:szCs w:val="32"/>
        </w:rPr>
        <w:t>积极服务配合农业厅、宜宾市</w:t>
      </w:r>
      <w:r>
        <w:rPr>
          <w:rFonts w:hint="eastAsia" w:ascii="仿宋" w:hAnsi="仿宋" w:eastAsia="仿宋"/>
          <w:sz w:val="32"/>
          <w:szCs w:val="32"/>
        </w:rPr>
        <w:t>等</w:t>
      </w:r>
      <w:r>
        <w:rPr>
          <w:rFonts w:ascii="仿宋" w:hAnsi="仿宋" w:eastAsia="仿宋"/>
          <w:sz w:val="32"/>
          <w:szCs w:val="32"/>
        </w:rPr>
        <w:t>在上海举办四川</w:t>
      </w:r>
      <w:r>
        <w:rPr>
          <w:rFonts w:hint="eastAsia" w:ascii="仿宋" w:hAnsi="仿宋" w:eastAsia="仿宋"/>
          <w:sz w:val="32"/>
          <w:szCs w:val="32"/>
        </w:rPr>
        <w:t>“</w:t>
      </w:r>
      <w:r>
        <w:rPr>
          <w:rFonts w:ascii="仿宋" w:hAnsi="仿宋" w:eastAsia="仿宋"/>
          <w:sz w:val="32"/>
          <w:szCs w:val="32"/>
        </w:rPr>
        <w:t>天府龙芽品质川茶</w:t>
      </w:r>
      <w:r>
        <w:rPr>
          <w:rFonts w:hint="eastAsia" w:ascii="仿宋" w:hAnsi="仿宋" w:eastAsia="仿宋"/>
          <w:sz w:val="32"/>
          <w:szCs w:val="32"/>
        </w:rPr>
        <w:t>”</w:t>
      </w:r>
      <w:r>
        <w:rPr>
          <w:rFonts w:ascii="仿宋" w:hAnsi="仿宋" w:eastAsia="仿宋"/>
          <w:sz w:val="32"/>
          <w:szCs w:val="32"/>
        </w:rPr>
        <w:t>上海营销推广中心揭牌暨宣传品鉴活动周活动，促成上海市四川商会与四川酒茶集团、四川长江源上海分公司等签订战略合作协议，活动期间共签约1500万元。</w:t>
      </w:r>
      <w:r>
        <w:rPr>
          <w:rFonts w:ascii="仿宋" w:hAnsi="仿宋" w:eastAsia="仿宋"/>
          <w:b/>
          <w:bCs/>
          <w:sz w:val="32"/>
          <w:szCs w:val="32"/>
        </w:rPr>
        <w:t>三是</w:t>
      </w:r>
      <w:r>
        <w:rPr>
          <w:rFonts w:ascii="仿宋" w:hAnsi="仿宋" w:eastAsia="仿宋"/>
          <w:sz w:val="32"/>
          <w:szCs w:val="32"/>
        </w:rPr>
        <w:t>扎实开展教育帮扶，筹集</w:t>
      </w:r>
      <w:r>
        <w:rPr>
          <w:rFonts w:hint="eastAsia" w:ascii="仿宋" w:hAnsi="仿宋" w:eastAsia="仿宋"/>
          <w:sz w:val="32"/>
          <w:szCs w:val="32"/>
        </w:rPr>
        <w:t>4.5</w:t>
      </w:r>
      <w:r>
        <w:rPr>
          <w:rFonts w:ascii="仿宋" w:hAnsi="仿宋" w:eastAsia="仿宋"/>
          <w:sz w:val="32"/>
          <w:szCs w:val="32"/>
        </w:rPr>
        <w:t>万元为美姑县峨曲古乡四基觉村、金阳县热柯觉乡丙乙底村学校购买空调；筹措4万元组织四基觉村20多名少年儿童开展</w:t>
      </w:r>
      <w:r>
        <w:rPr>
          <w:rFonts w:hint="eastAsia" w:ascii="仿宋" w:hAnsi="仿宋" w:eastAsia="仿宋"/>
          <w:sz w:val="32"/>
          <w:szCs w:val="32"/>
        </w:rPr>
        <w:t>“</w:t>
      </w:r>
      <w:r>
        <w:rPr>
          <w:rFonts w:ascii="仿宋" w:hAnsi="仿宋" w:eastAsia="仿宋"/>
          <w:sz w:val="32"/>
          <w:szCs w:val="32"/>
        </w:rPr>
        <w:t>走出大山看世界</w:t>
      </w:r>
      <w:r>
        <w:rPr>
          <w:rFonts w:hint="eastAsia" w:ascii="仿宋" w:hAnsi="仿宋" w:eastAsia="仿宋"/>
          <w:sz w:val="32"/>
          <w:szCs w:val="32"/>
        </w:rPr>
        <w:t>”</w:t>
      </w:r>
      <w:r>
        <w:rPr>
          <w:rFonts w:ascii="仿宋" w:hAnsi="仿宋" w:eastAsia="仿宋"/>
          <w:sz w:val="32"/>
          <w:szCs w:val="32"/>
        </w:rPr>
        <w:t>活动，到成都开展为期5天的游学，被省直机关工委宣传报道。</w:t>
      </w:r>
    </w:p>
    <w:p>
      <w:pPr>
        <w:spacing w:line="600" w:lineRule="exact"/>
        <w:ind w:firstLine="642" w:firstLineChars="200"/>
        <w:rPr>
          <w:rFonts w:ascii="仿宋" w:hAnsi="仿宋" w:eastAsia="仿宋"/>
          <w:b/>
          <w:bCs/>
          <w:sz w:val="32"/>
          <w:szCs w:val="32"/>
        </w:rPr>
      </w:pPr>
      <w:r>
        <w:rPr>
          <w:rFonts w:hint="eastAsia" w:ascii="仿宋" w:hAnsi="仿宋" w:eastAsia="仿宋"/>
          <w:b/>
          <w:bCs/>
          <w:sz w:val="32"/>
          <w:szCs w:val="32"/>
        </w:rPr>
        <w:t>6、</w:t>
      </w:r>
      <w:r>
        <w:rPr>
          <w:rFonts w:ascii="仿宋" w:hAnsi="仿宋" w:eastAsia="仿宋"/>
          <w:b/>
          <w:bCs/>
          <w:sz w:val="32"/>
          <w:szCs w:val="32"/>
        </w:rPr>
        <w:t>抓班子带队伍，促进干部队伍能力有新提升</w:t>
      </w:r>
    </w:p>
    <w:p>
      <w:pPr>
        <w:pStyle w:val="23"/>
        <w:spacing w:line="600" w:lineRule="exact"/>
        <w:ind w:left="160" w:leftChars="76" w:firstLine="640"/>
        <w:rPr>
          <w:rFonts w:ascii="仿宋" w:hAnsi="仿宋" w:eastAsia="仿宋"/>
          <w:color w:val="000000"/>
          <w:sz w:val="32"/>
          <w:szCs w:val="32"/>
        </w:rPr>
      </w:pPr>
      <w:r>
        <w:rPr>
          <w:rFonts w:ascii="仿宋" w:hAnsi="仿宋" w:eastAsia="仿宋"/>
          <w:color w:val="000000"/>
          <w:sz w:val="32"/>
          <w:szCs w:val="32"/>
        </w:rPr>
        <w:t>按照《</w:t>
      </w:r>
      <w:r>
        <w:rPr>
          <w:rFonts w:hint="eastAsia" w:ascii="仿宋" w:hAnsi="仿宋" w:eastAsia="仿宋"/>
          <w:color w:val="000000"/>
          <w:sz w:val="32"/>
          <w:szCs w:val="32"/>
        </w:rPr>
        <w:t>中国共产党章程</w:t>
      </w:r>
      <w:r>
        <w:rPr>
          <w:rFonts w:ascii="仿宋" w:hAnsi="仿宋" w:eastAsia="仿宋"/>
          <w:color w:val="000000"/>
          <w:sz w:val="32"/>
          <w:szCs w:val="32"/>
        </w:rPr>
        <w:t>》规定和上级党委要求，新一届总支领导班子组成，明确分工抓好职责范围党建工作，形成了抓党建工作责任落实的合力。</w:t>
      </w:r>
      <w:r>
        <w:rPr>
          <w:rFonts w:ascii="仿宋" w:hAnsi="仿宋" w:eastAsia="仿宋"/>
          <w:bCs/>
          <w:color w:val="000000"/>
          <w:sz w:val="32"/>
          <w:szCs w:val="32"/>
        </w:rPr>
        <w:t>选齐配强核心骨干</w:t>
      </w:r>
      <w:r>
        <w:rPr>
          <w:rFonts w:hint="eastAsia" w:ascii="仿宋" w:hAnsi="仿宋" w:eastAsia="仿宋"/>
          <w:color w:val="000000"/>
          <w:sz w:val="32"/>
          <w:szCs w:val="32"/>
        </w:rPr>
        <w:t>，2020年</w:t>
      </w:r>
      <w:r>
        <w:rPr>
          <w:rFonts w:ascii="仿宋" w:hAnsi="仿宋" w:eastAsia="仿宋"/>
          <w:color w:val="000000"/>
          <w:sz w:val="32"/>
          <w:szCs w:val="32"/>
        </w:rPr>
        <w:t>抓了办领导班子、处室负责人配备和职级晋升，拟新调几名业务骨干，干部职工干事创业的氛围更</w:t>
      </w:r>
      <w:r>
        <w:rPr>
          <w:rFonts w:hint="eastAsia" w:ascii="仿宋" w:hAnsi="仿宋" w:eastAsia="仿宋"/>
          <w:color w:val="000000"/>
          <w:sz w:val="32"/>
          <w:szCs w:val="32"/>
        </w:rPr>
        <w:t>浓</w:t>
      </w:r>
      <w:r>
        <w:rPr>
          <w:rFonts w:ascii="仿宋" w:hAnsi="仿宋" w:eastAsia="仿宋"/>
          <w:color w:val="000000"/>
          <w:sz w:val="32"/>
          <w:szCs w:val="32"/>
        </w:rPr>
        <w:t>。</w:t>
      </w:r>
    </w:p>
    <w:p>
      <w:pPr>
        <w:spacing w:line="600" w:lineRule="exact"/>
        <w:ind w:firstLine="640" w:firstLineChars="200"/>
        <w:rPr>
          <w:rFonts w:hint="eastAsia" w:ascii="黑体" w:hAnsi="黑体" w:eastAsia="黑体" w:cstheme="majorBidi"/>
          <w:b w:val="0"/>
          <w:bCs/>
          <w:kern w:val="2"/>
          <w:sz w:val="32"/>
          <w:szCs w:val="32"/>
          <w:lang w:val="en-US" w:eastAsia="zh-CN" w:bidi="ar-SA"/>
        </w:rPr>
      </w:pPr>
      <w:r>
        <w:rPr>
          <w:rFonts w:hint="eastAsia" w:ascii="黑体" w:hAnsi="黑体" w:eastAsia="黑体" w:cstheme="majorBidi"/>
          <w:b w:val="0"/>
          <w:bCs/>
          <w:kern w:val="2"/>
          <w:sz w:val="32"/>
          <w:szCs w:val="32"/>
          <w:lang w:val="en-US" w:eastAsia="zh-CN" w:bidi="ar-SA"/>
        </w:rPr>
        <w:t>三、机构设置情况</w:t>
      </w:r>
    </w:p>
    <w:p>
      <w:pPr>
        <w:pStyle w:val="2"/>
        <w:ind w:firstLine="640" w:firstLineChars="200"/>
        <w:rPr>
          <w:rFonts w:hint="eastAsia" w:ascii="仿宋_GB2312" w:hAnsi="仿宋_GB2312" w:eastAsia="仿宋_GB2312" w:cs="仿宋_GB2312"/>
          <w:color w:val="0D0D0D"/>
          <w:kern w:val="2"/>
          <w:sz w:val="32"/>
          <w:szCs w:val="32"/>
          <w:lang w:val="en-US" w:eastAsia="zh-CN" w:bidi="ar-SA"/>
        </w:rPr>
      </w:pPr>
      <w:r>
        <w:rPr>
          <w:rFonts w:hint="eastAsia" w:ascii="仿宋_GB2312" w:hAnsi="仿宋_GB2312" w:eastAsia="仿宋_GB2312" w:cs="仿宋_GB2312"/>
          <w:color w:val="0D0D0D"/>
          <w:kern w:val="2"/>
          <w:sz w:val="32"/>
          <w:szCs w:val="32"/>
          <w:lang w:val="en-US" w:eastAsia="zh-CN" w:bidi="ar-SA"/>
        </w:rPr>
        <w:t>四川驻沪办由4个内设处室组成，分别是：秘书处、经济合作处、综合信息处、劳务工作处。</w:t>
      </w:r>
    </w:p>
    <w:p>
      <w:pPr>
        <w:pStyle w:val="23"/>
        <w:spacing w:line="600" w:lineRule="exact"/>
        <w:ind w:left="160" w:leftChars="76" w:firstLine="640"/>
        <w:rPr>
          <w:rFonts w:ascii="仿宋" w:hAnsi="仿宋" w:eastAsia="仿宋"/>
          <w:color w:val="000000"/>
          <w:sz w:val="32"/>
          <w:szCs w:val="32"/>
        </w:rPr>
      </w:pPr>
    </w:p>
    <w:p/>
    <w:p>
      <w:pPr>
        <w:widowControl/>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center"/>
        <w:rPr>
          <w:rStyle w:val="24"/>
          <w:rFonts w:ascii="黑体" w:hAnsi="黑体" w:eastAsia="黑体"/>
          <w:b w:val="0"/>
          <w:bCs/>
        </w:rPr>
      </w:pPr>
      <w:bookmarkStart w:id="16" w:name="_Toc15396602"/>
      <w:bookmarkStart w:id="17" w:name="_Toc15377204"/>
      <w:r>
        <w:rPr>
          <w:rFonts w:hint="eastAsia" w:ascii="黑体" w:hAnsi="黑体" w:eastAsia="黑体"/>
          <w:b w:val="0"/>
        </w:rPr>
        <w:t>第二部分 2020年度</w:t>
      </w:r>
      <w:r>
        <w:rPr>
          <w:rStyle w:val="24"/>
          <w:rFonts w:hint="eastAsia" w:ascii="黑体" w:hAnsi="黑体" w:eastAsia="黑体"/>
          <w:b w:val="0"/>
          <w:bCs/>
        </w:rPr>
        <w:t>单位决算情况说明</w:t>
      </w:r>
      <w:bookmarkEnd w:id="16"/>
      <w:bookmarkEnd w:id="17"/>
    </w:p>
    <w:p>
      <w:pPr>
        <w:pStyle w:val="23"/>
        <w:numPr>
          <w:ilvl w:val="0"/>
          <w:numId w:val="2"/>
        </w:numPr>
        <w:spacing w:line="600" w:lineRule="exact"/>
        <w:ind w:firstLineChars="0"/>
        <w:outlineLvl w:val="1"/>
        <w:rPr>
          <w:rStyle w:val="25"/>
          <w:rFonts w:ascii="黑体" w:hAnsi="黑体" w:eastAsia="黑体"/>
          <w:b w:val="0"/>
        </w:rPr>
      </w:pPr>
      <w:bookmarkStart w:id="18" w:name="_Toc15377205"/>
      <w:bookmarkStart w:id="19"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2020年度收、支总计984万元，与2019年相比收、支总计减少了22.61万元，下降2.3%。主要变动原因是人员变动。</w:t>
      </w:r>
    </w:p>
    <w:p>
      <w:pPr>
        <w:pStyle w:val="2"/>
        <w:spacing w:before="93"/>
      </w:pPr>
      <w:r>
        <w:drawing>
          <wp:inline distT="0" distB="0" distL="0" distR="0">
            <wp:extent cx="5581650" cy="2983865"/>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20年本年收入合计984万元，其中：一般公共预算财政拨款收入984万元，占100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pPr>
      <w:r>
        <w:drawing>
          <wp:inline distT="0" distB="0" distL="0" distR="0">
            <wp:extent cx="5351145" cy="2870200"/>
            <wp:effectExtent l="0" t="0" r="1905"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_GB2312" w:eastAsia="仿宋_GB2312"/>
          <w:color w:val="FF0000"/>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2" w:name="_Toc15377207"/>
      <w:bookmarkStart w:id="23"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20年本年支出合计854.58万元，其中：基本支出799.23万元，占93.52</w:t>
      </w:r>
      <w:r>
        <w:rPr>
          <w:rFonts w:ascii="仿宋" w:hAnsi="仿宋" w:eastAsia="仿宋"/>
          <w:color w:val="000000"/>
          <w:sz w:val="32"/>
          <w:szCs w:val="32"/>
        </w:rPr>
        <w:t>%</w:t>
      </w:r>
      <w:r>
        <w:rPr>
          <w:rFonts w:hint="eastAsia" w:ascii="仿宋" w:hAnsi="仿宋" w:eastAsia="仿宋"/>
          <w:color w:val="000000"/>
          <w:sz w:val="32"/>
          <w:szCs w:val="32"/>
        </w:rPr>
        <w:t>；项目支出55.35万元，占6.48</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pStyle w:val="2"/>
        <w:spacing w:before="93"/>
      </w:pPr>
      <w:r>
        <w:drawing>
          <wp:inline distT="0" distB="0" distL="0" distR="0">
            <wp:extent cx="5056505" cy="2743200"/>
            <wp:effectExtent l="0" t="0" r="1079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32"/>
          <w:szCs w:val="32"/>
          <w:shd w:val="pct10" w:color="auto" w:fill="FFFFFF"/>
        </w:rPr>
      </w:pPr>
    </w:p>
    <w:p>
      <w:pPr>
        <w:spacing w:line="600" w:lineRule="exact"/>
        <w:ind w:firstLine="640" w:firstLineChars="200"/>
        <w:outlineLvl w:val="1"/>
        <w:rPr>
          <w:rStyle w:val="25"/>
          <w:rFonts w:ascii="黑体" w:hAnsi="黑体" w:eastAsia="黑体"/>
          <w:b w:val="0"/>
        </w:rPr>
      </w:pPr>
      <w:bookmarkStart w:id="24" w:name="_Toc15377208"/>
      <w:bookmarkStart w:id="25"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2020年度财政拨款收、支总计984万元，与2019年相比收、支总计减少了22.61万元，下降2.3%。主要变动原因是人员变动。</w:t>
      </w:r>
    </w:p>
    <w:p>
      <w:pPr>
        <w:pStyle w:val="2"/>
        <w:spacing w:before="93"/>
      </w:pPr>
      <w:r>
        <w:drawing>
          <wp:inline distT="0" distB="0" distL="0" distR="0">
            <wp:extent cx="5274310" cy="281940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color w:val="000000"/>
          <w:sz w:val="32"/>
          <w:szCs w:val="32"/>
        </w:rPr>
      </w:pPr>
      <w:bookmarkStart w:id="28" w:name="_Toc15377210"/>
      <w:r>
        <w:rPr>
          <w:rFonts w:hint="eastAsia" w:ascii="仿宋" w:hAnsi="仿宋" w:eastAsia="仿宋"/>
          <w:b/>
          <w:color w:val="000000"/>
          <w:sz w:val="32"/>
          <w:szCs w:val="32"/>
        </w:rPr>
        <w:t>（一）一般公共预算财政拨款支出决算总体情况</w:t>
      </w:r>
      <w:bookmarkEnd w:id="2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20年一般公共预算财政拨款支出854.58万元，占本年支出合计的100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9年相比，一般公共预算财政拨款增加了69.49万元，增长8.85</w:t>
      </w:r>
      <w:r>
        <w:rPr>
          <w:rFonts w:ascii="仿宋" w:hAnsi="仿宋" w:eastAsia="仿宋"/>
          <w:color w:val="000000"/>
          <w:sz w:val="32"/>
          <w:szCs w:val="32"/>
        </w:rPr>
        <w:t>%</w:t>
      </w:r>
      <w:r>
        <w:rPr>
          <w:rFonts w:hint="eastAsia" w:ascii="仿宋" w:hAnsi="仿宋" w:eastAsia="仿宋"/>
          <w:color w:val="000000"/>
          <w:sz w:val="32"/>
          <w:szCs w:val="32"/>
        </w:rPr>
        <w:t>。主要变动原因是一是今年增加了人员经费的开支，二是今年增加购买了办公设备和空调等。</w:t>
      </w:r>
    </w:p>
    <w:p>
      <w:pPr>
        <w:pStyle w:val="2"/>
        <w:spacing w:before="93"/>
      </w:pPr>
      <w:r>
        <w:drawing>
          <wp:inline distT="0" distB="0" distL="0" distR="0">
            <wp:extent cx="520065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2" w:firstLineChars="200"/>
        <w:outlineLvl w:val="2"/>
        <w:rPr>
          <w:rFonts w:ascii="仿宋" w:hAnsi="仿宋" w:eastAsia="仿宋"/>
          <w:b/>
          <w:color w:val="000000"/>
          <w:sz w:val="32"/>
          <w:szCs w:val="32"/>
        </w:rPr>
      </w:pPr>
      <w:bookmarkStart w:id="29" w:name="_Toc15377211"/>
      <w:r>
        <w:rPr>
          <w:rFonts w:hint="eastAsia" w:ascii="仿宋" w:hAnsi="仿宋" w:eastAsia="仿宋"/>
          <w:b/>
          <w:color w:val="000000"/>
          <w:sz w:val="32"/>
          <w:szCs w:val="32"/>
        </w:rPr>
        <w:t>（二）一般公共预算财政拨款支出决算结构情况</w:t>
      </w:r>
      <w:bookmarkEnd w:id="2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rPr>
        <w:t>政拨款支出854.58万元，主要用于以下方面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支出591.82万元，占69.25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教育支出（类）</w:t>
      </w:r>
      <w:r>
        <w:rPr>
          <w:rFonts w:hint="eastAsia" w:ascii="仿宋" w:hAnsi="仿宋" w:eastAsia="仿宋"/>
          <w:color w:val="000000" w:themeColor="text1"/>
          <w:sz w:val="32"/>
          <w:szCs w:val="32"/>
        </w:rPr>
        <w:t>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科学技术（类）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支出174.15万元，占20.38</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rPr>
        <w:t>41.97万元，占4.91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住房保障支出</w:t>
      </w:r>
      <w:r>
        <w:rPr>
          <w:rFonts w:hint="eastAsia" w:ascii="仿宋" w:hAnsi="仿宋" w:eastAsia="仿宋"/>
          <w:color w:val="000000" w:themeColor="text1"/>
          <w:sz w:val="32"/>
          <w:szCs w:val="32"/>
        </w:rPr>
        <w:t>46.64万元，占5.46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pStyle w:val="2"/>
        <w:spacing w:before="93"/>
      </w:pPr>
      <w:r>
        <w:drawing>
          <wp:inline distT="0" distB="0" distL="0" distR="0">
            <wp:extent cx="520065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atLeast"/>
        <w:ind w:firstLine="642" w:firstLineChars="200"/>
        <w:outlineLvl w:val="2"/>
        <w:rPr>
          <w:rFonts w:ascii="仿宋" w:hAnsi="仿宋" w:eastAsia="仿宋"/>
          <w:b/>
          <w:color w:val="000000"/>
          <w:sz w:val="32"/>
          <w:szCs w:val="32"/>
        </w:rPr>
      </w:pPr>
      <w:bookmarkStart w:id="30" w:name="_Toc15377212"/>
      <w:r>
        <w:rPr>
          <w:rFonts w:hint="eastAsia" w:ascii="仿宋" w:hAnsi="仿宋" w:eastAsia="仿宋"/>
          <w:b/>
          <w:color w:val="000000"/>
          <w:sz w:val="32"/>
          <w:szCs w:val="32"/>
        </w:rPr>
        <w:t>（三）一般公共预算财政拨款支出决算具体情况</w:t>
      </w:r>
      <w:bookmarkEnd w:id="30"/>
    </w:p>
    <w:p>
      <w:pPr>
        <w:spacing w:line="600" w:lineRule="atLeast"/>
        <w:ind w:firstLine="642" w:firstLineChars="200"/>
        <w:outlineLvl w:val="2"/>
        <w:rPr>
          <w:rFonts w:ascii="仿宋" w:hAnsi="仿宋" w:eastAsia="仿宋"/>
          <w:color w:val="FF0000"/>
          <w:sz w:val="32"/>
          <w:szCs w:val="32"/>
        </w:rPr>
      </w:pPr>
      <w:bookmarkStart w:id="31" w:name="_Toc15377444"/>
      <w:bookmarkStart w:id="32" w:name="_Toc15377213"/>
      <w:bookmarkStart w:id="33" w:name="_Toc15378460"/>
      <w:r>
        <w:rPr>
          <w:rFonts w:hint="eastAsia" w:ascii="仿宋" w:hAnsi="仿宋" w:eastAsia="仿宋"/>
          <w:b/>
          <w:color w:val="000000" w:themeColor="text1"/>
          <w:sz w:val="32"/>
          <w:szCs w:val="32"/>
        </w:rPr>
        <w:t>2020年一般公共预算支出决算数为854.58万元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预算984万元的86.85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1"/>
      <w:bookmarkEnd w:id="32"/>
      <w:bookmarkEnd w:id="33"/>
    </w:p>
    <w:p>
      <w:pPr>
        <w:spacing w:line="600" w:lineRule="atLeast"/>
        <w:ind w:firstLine="642" w:firstLineChars="200"/>
        <w:rPr>
          <w:rFonts w:ascii="仿宋" w:hAnsi="仿宋" w:eastAsia="仿宋"/>
          <w:b/>
          <w:color w:val="000000"/>
          <w:sz w:val="32"/>
          <w:szCs w:val="32"/>
        </w:rPr>
      </w:pPr>
      <w:r>
        <w:rPr>
          <w:rStyle w:val="14"/>
          <w:rFonts w:ascii="仿宋" w:hAnsi="仿宋" w:eastAsia="仿宋"/>
          <w:bCs/>
          <w:color w:val="000000"/>
          <w:sz w:val="32"/>
          <w:szCs w:val="32"/>
        </w:rPr>
        <w:t>1.</w:t>
      </w:r>
      <w:r>
        <w:rPr>
          <w:rStyle w:val="14"/>
          <w:rFonts w:hint="eastAsia" w:ascii="仿宋" w:hAnsi="仿宋" w:eastAsia="仿宋"/>
          <w:bCs/>
          <w:color w:val="000000"/>
          <w:sz w:val="32"/>
          <w:szCs w:val="32"/>
        </w:rPr>
        <w:t>一般公共服务（类）商贸事务（款）行政</w:t>
      </w:r>
      <w:r>
        <w:rPr>
          <w:rStyle w:val="14"/>
          <w:rFonts w:ascii="仿宋" w:hAnsi="仿宋" w:eastAsia="仿宋"/>
          <w:bCs/>
          <w:color w:val="000000"/>
          <w:sz w:val="32"/>
          <w:szCs w:val="32"/>
        </w:rPr>
        <w:t>运行</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支出决算为538.47万元，完成预算82.22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，决算数小于预算数的主要原因一是厉行节约压缩行政运行支出，二是人员经费有结余。</w:t>
      </w:r>
    </w:p>
    <w:p>
      <w:pPr>
        <w:spacing w:line="600" w:lineRule="atLeast"/>
        <w:ind w:firstLine="642" w:firstLineChars="200"/>
        <w:rPr>
          <w:rStyle w:val="14"/>
          <w:rFonts w:ascii="仿宋" w:hAnsi="仿宋" w:eastAsia="仿宋"/>
          <w:b w:val="0"/>
          <w:bCs/>
          <w:color w:val="000000" w:themeColor="text1"/>
          <w:sz w:val="32"/>
          <w:szCs w:val="32"/>
        </w:rPr>
      </w:pPr>
      <w:r>
        <w:rPr>
          <w:rStyle w:val="14"/>
          <w:rFonts w:ascii="仿宋" w:hAnsi="仿宋" w:eastAsia="仿宋"/>
          <w:bCs/>
          <w:color w:val="000000"/>
          <w:sz w:val="32"/>
          <w:szCs w:val="32"/>
        </w:rPr>
        <w:t>2.</w:t>
      </w:r>
      <w:r>
        <w:rPr>
          <w:rStyle w:val="14"/>
          <w:rFonts w:hint="eastAsia" w:ascii="仿宋" w:hAnsi="仿宋" w:eastAsia="仿宋"/>
          <w:bCs/>
          <w:color w:val="000000"/>
          <w:sz w:val="32"/>
          <w:szCs w:val="32"/>
        </w:rPr>
        <w:t xml:space="preserve"> 一般公共服务（类）商贸事务（款）一般行政管理</w:t>
      </w:r>
      <w:r>
        <w:rPr>
          <w:rStyle w:val="14"/>
          <w:rFonts w:hint="eastAsia" w:ascii="仿宋" w:hAnsi="仿宋" w:eastAsia="仿宋"/>
          <w:bCs/>
          <w:color w:val="000000" w:themeColor="text1"/>
          <w:sz w:val="32"/>
          <w:szCs w:val="32"/>
        </w:rPr>
        <w:t>事务（项）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支出决算为39.25万元，完成预算89.59</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，决算数小于预算数的主要原因一是厉行节约压缩行政运行支出，二是一部分办公楼修缮费用需结转到下一年开支。</w:t>
      </w:r>
    </w:p>
    <w:p>
      <w:pPr>
        <w:spacing w:line="600" w:lineRule="atLeast"/>
        <w:ind w:firstLine="642" w:firstLineChars="200"/>
        <w:rPr>
          <w:rStyle w:val="14"/>
          <w:rFonts w:ascii="仿宋" w:hAnsi="仿宋" w:eastAsia="仿宋"/>
          <w:b w:val="0"/>
          <w:bCs/>
          <w:color w:val="000000" w:themeColor="text1"/>
          <w:sz w:val="32"/>
          <w:szCs w:val="32"/>
        </w:rPr>
      </w:pPr>
      <w:r>
        <w:rPr>
          <w:rStyle w:val="14"/>
          <w:rFonts w:hint="eastAsia" w:ascii="仿宋" w:hAnsi="仿宋" w:eastAsia="仿宋"/>
          <w:bCs/>
          <w:color w:val="000000" w:themeColor="text1"/>
          <w:sz w:val="32"/>
          <w:szCs w:val="32"/>
        </w:rPr>
        <w:t>3</w:t>
      </w:r>
      <w:r>
        <w:rPr>
          <w:rStyle w:val="14"/>
          <w:rFonts w:ascii="仿宋" w:hAnsi="仿宋" w:eastAsia="仿宋"/>
          <w:bCs/>
          <w:color w:val="000000" w:themeColor="text1"/>
          <w:sz w:val="32"/>
          <w:szCs w:val="32"/>
        </w:rPr>
        <w:t>.</w:t>
      </w:r>
      <w:r>
        <w:rPr>
          <w:rStyle w:val="14"/>
          <w:rFonts w:hint="eastAsia" w:ascii="仿宋" w:hAnsi="仿宋" w:eastAsia="仿宋"/>
          <w:bCs/>
          <w:color w:val="000000" w:themeColor="text1"/>
          <w:sz w:val="32"/>
          <w:szCs w:val="32"/>
        </w:rPr>
        <w:t xml:space="preserve"> 一般公共服务（类）商贸事务（款）招商引资（项）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支出决算为14.1万元，完成预算94</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，决算数小于预算数的主要原因厉行节约压减招商经费支出。</w:t>
      </w:r>
    </w:p>
    <w:p>
      <w:pPr>
        <w:spacing w:line="600" w:lineRule="atLeast"/>
        <w:ind w:firstLine="642" w:firstLineChars="200"/>
        <w:rPr>
          <w:rStyle w:val="14"/>
          <w:rFonts w:ascii="仿宋" w:hAnsi="仿宋" w:eastAsia="仿宋"/>
          <w:b w:val="0"/>
          <w:bCs/>
          <w:color w:val="000000" w:themeColor="text1"/>
          <w:sz w:val="32"/>
          <w:szCs w:val="32"/>
        </w:rPr>
      </w:pPr>
      <w:r>
        <w:rPr>
          <w:rStyle w:val="14"/>
          <w:rFonts w:hint="eastAsia" w:ascii="仿宋" w:hAnsi="仿宋" w:eastAsia="仿宋"/>
          <w:bCs/>
          <w:color w:val="000000" w:themeColor="text1"/>
          <w:sz w:val="32"/>
          <w:szCs w:val="32"/>
        </w:rPr>
        <w:t>4</w:t>
      </w:r>
      <w:r>
        <w:rPr>
          <w:rStyle w:val="14"/>
          <w:rFonts w:ascii="仿宋" w:hAnsi="仿宋" w:eastAsia="仿宋"/>
          <w:bCs/>
          <w:color w:val="000000" w:themeColor="text1"/>
          <w:sz w:val="32"/>
          <w:szCs w:val="32"/>
        </w:rPr>
        <w:t>.</w:t>
      </w:r>
      <w:r>
        <w:rPr>
          <w:rStyle w:val="14"/>
          <w:rFonts w:hint="eastAsia" w:ascii="仿宋" w:hAnsi="仿宋" w:eastAsia="仿宋"/>
          <w:bCs/>
          <w:color w:val="000000" w:themeColor="text1"/>
          <w:sz w:val="32"/>
          <w:szCs w:val="32"/>
        </w:rPr>
        <w:t xml:space="preserve"> 社会保障和就业支出（类）行政事业单位养老支出（款）行政单位离退休（项）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支出决算为110.39万元，完成预算95.24</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，决算数小于预算数的主要原因是一名离休干部去世，人员经费开支减少。</w:t>
      </w:r>
    </w:p>
    <w:p>
      <w:pPr>
        <w:pStyle w:val="2"/>
        <w:spacing w:before="93" w:line="600" w:lineRule="atLeast"/>
        <w:ind w:firstLine="600"/>
        <w:rPr>
          <w:rStyle w:val="14"/>
          <w:rFonts w:ascii="仿宋" w:hAnsi="仿宋" w:eastAsia="仿宋"/>
          <w:b w:val="0"/>
          <w:bCs/>
          <w:color w:val="000000" w:themeColor="text1"/>
          <w:sz w:val="32"/>
          <w:szCs w:val="32"/>
        </w:rPr>
      </w:pPr>
      <w:r>
        <w:rPr>
          <w:rStyle w:val="14"/>
          <w:rFonts w:hint="eastAsia" w:ascii="仿宋" w:hAnsi="仿宋" w:eastAsia="仿宋"/>
          <w:bCs/>
          <w:color w:val="000000" w:themeColor="text1"/>
          <w:sz w:val="32"/>
          <w:szCs w:val="32"/>
        </w:rPr>
        <w:t>5</w:t>
      </w:r>
      <w:r>
        <w:rPr>
          <w:rStyle w:val="14"/>
          <w:rFonts w:ascii="仿宋" w:hAnsi="仿宋" w:eastAsia="仿宋"/>
          <w:bCs/>
          <w:color w:val="000000" w:themeColor="text1"/>
          <w:sz w:val="32"/>
          <w:szCs w:val="32"/>
        </w:rPr>
        <w:t>.</w:t>
      </w:r>
      <w:r>
        <w:rPr>
          <w:rStyle w:val="14"/>
          <w:rFonts w:hint="eastAsia" w:ascii="仿宋" w:hAnsi="仿宋" w:eastAsia="仿宋"/>
          <w:bCs/>
          <w:color w:val="000000" w:themeColor="text1"/>
          <w:sz w:val="32"/>
          <w:szCs w:val="32"/>
        </w:rPr>
        <w:t xml:space="preserve"> 社会保障和就业支出（类）行政事业单位养老支出（款）机关事业单位基本养老保险缴费支出（项）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支出决算为57.39万元，完成预算100</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，决算数等于预算数。</w:t>
      </w:r>
    </w:p>
    <w:p>
      <w:pPr>
        <w:pStyle w:val="2"/>
        <w:spacing w:before="93" w:line="600" w:lineRule="atLeast"/>
        <w:ind w:firstLine="600"/>
        <w:rPr>
          <w:rStyle w:val="14"/>
          <w:rFonts w:ascii="仿宋" w:hAnsi="仿宋" w:eastAsia="仿宋"/>
          <w:b w:val="0"/>
          <w:bCs/>
          <w:color w:val="000000" w:themeColor="text1"/>
          <w:sz w:val="32"/>
          <w:szCs w:val="32"/>
        </w:rPr>
      </w:pPr>
      <w:r>
        <w:rPr>
          <w:rStyle w:val="14"/>
          <w:rFonts w:hint="eastAsia" w:ascii="仿宋" w:hAnsi="仿宋" w:eastAsia="仿宋"/>
          <w:bCs/>
          <w:color w:val="000000" w:themeColor="text1"/>
          <w:sz w:val="32"/>
          <w:szCs w:val="32"/>
        </w:rPr>
        <w:t>6</w:t>
      </w:r>
      <w:r>
        <w:rPr>
          <w:rStyle w:val="14"/>
          <w:rFonts w:ascii="仿宋" w:hAnsi="仿宋" w:eastAsia="仿宋"/>
          <w:bCs/>
          <w:color w:val="000000" w:themeColor="text1"/>
          <w:sz w:val="32"/>
          <w:szCs w:val="32"/>
        </w:rPr>
        <w:t>.</w:t>
      </w:r>
      <w:r>
        <w:rPr>
          <w:rStyle w:val="14"/>
          <w:rFonts w:hint="eastAsia" w:ascii="仿宋" w:hAnsi="仿宋" w:eastAsia="仿宋"/>
          <w:bCs/>
          <w:color w:val="000000" w:themeColor="text1"/>
          <w:sz w:val="32"/>
          <w:szCs w:val="32"/>
        </w:rPr>
        <w:t xml:space="preserve"> 社会保障和就业支出（类）行政事业单位养老支出（款）机关事业单位职业年金缴费支出（项）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支出决算为6.37万元，完成预算100</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，决算数等于预算数。</w:t>
      </w:r>
    </w:p>
    <w:p>
      <w:pPr>
        <w:pStyle w:val="2"/>
        <w:spacing w:before="93" w:line="600" w:lineRule="atLeast"/>
        <w:ind w:firstLine="600"/>
        <w:rPr>
          <w:rStyle w:val="14"/>
          <w:rFonts w:ascii="仿宋" w:hAnsi="仿宋" w:eastAsia="仿宋"/>
          <w:b w:val="0"/>
          <w:bCs/>
          <w:color w:val="000000" w:themeColor="text1"/>
          <w:sz w:val="32"/>
          <w:szCs w:val="32"/>
        </w:rPr>
      </w:pPr>
      <w:r>
        <w:rPr>
          <w:rStyle w:val="14"/>
          <w:rFonts w:hint="eastAsia" w:ascii="仿宋" w:hAnsi="仿宋" w:eastAsia="仿宋"/>
          <w:bCs/>
          <w:color w:val="000000" w:themeColor="text1"/>
          <w:sz w:val="32"/>
          <w:szCs w:val="32"/>
        </w:rPr>
        <w:t>7</w:t>
      </w:r>
      <w:r>
        <w:rPr>
          <w:rStyle w:val="14"/>
          <w:rFonts w:ascii="仿宋" w:hAnsi="仿宋" w:eastAsia="仿宋"/>
          <w:bCs/>
          <w:color w:val="000000" w:themeColor="text1"/>
          <w:sz w:val="32"/>
          <w:szCs w:val="32"/>
        </w:rPr>
        <w:t>.</w:t>
      </w:r>
      <w:r>
        <w:rPr>
          <w:rStyle w:val="14"/>
          <w:rFonts w:hint="eastAsia" w:ascii="仿宋" w:hAnsi="仿宋" w:eastAsia="仿宋"/>
          <w:bCs/>
          <w:color w:val="000000" w:themeColor="text1"/>
          <w:sz w:val="32"/>
          <w:szCs w:val="32"/>
        </w:rPr>
        <w:t xml:space="preserve"> 卫生健康（类）行政事业单位医疗（款）事业单位医疗（项）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支出决算为34.98万元，完成预算100</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，决算数等于预算数。</w:t>
      </w:r>
    </w:p>
    <w:p>
      <w:pPr>
        <w:pStyle w:val="2"/>
        <w:spacing w:before="93" w:line="600" w:lineRule="atLeast"/>
        <w:ind w:firstLine="600"/>
        <w:rPr>
          <w:rStyle w:val="14"/>
          <w:rFonts w:ascii="仿宋" w:hAnsi="仿宋" w:eastAsia="仿宋"/>
          <w:b w:val="0"/>
          <w:bCs/>
          <w:color w:val="000000" w:themeColor="text1"/>
          <w:sz w:val="32"/>
          <w:szCs w:val="32"/>
        </w:rPr>
      </w:pPr>
      <w:r>
        <w:rPr>
          <w:rStyle w:val="14"/>
          <w:rFonts w:hint="eastAsia" w:ascii="仿宋" w:hAnsi="仿宋" w:eastAsia="仿宋"/>
          <w:bCs/>
          <w:color w:val="000000" w:themeColor="text1"/>
          <w:sz w:val="32"/>
          <w:szCs w:val="32"/>
        </w:rPr>
        <w:t>8</w:t>
      </w:r>
      <w:r>
        <w:rPr>
          <w:rStyle w:val="14"/>
          <w:rFonts w:ascii="仿宋" w:hAnsi="仿宋" w:eastAsia="仿宋"/>
          <w:bCs/>
          <w:color w:val="000000" w:themeColor="text1"/>
          <w:sz w:val="32"/>
          <w:szCs w:val="32"/>
        </w:rPr>
        <w:t>.</w:t>
      </w:r>
      <w:r>
        <w:rPr>
          <w:rStyle w:val="14"/>
          <w:rFonts w:hint="eastAsia" w:ascii="仿宋" w:hAnsi="仿宋" w:eastAsia="仿宋"/>
          <w:bCs/>
          <w:color w:val="000000" w:themeColor="text1"/>
          <w:sz w:val="32"/>
          <w:szCs w:val="32"/>
        </w:rPr>
        <w:t xml:space="preserve"> 卫生健康（类）行政事业单位医疗（款）公务员医疗补助（项）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支出决算为6.99万元，完成预算100</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，决算数等于预算数。</w:t>
      </w:r>
    </w:p>
    <w:p>
      <w:pPr>
        <w:pStyle w:val="2"/>
        <w:spacing w:before="93" w:line="600" w:lineRule="atLeast"/>
        <w:ind w:firstLine="600"/>
        <w:rPr>
          <w:rStyle w:val="14"/>
          <w:rFonts w:ascii="仿宋" w:hAnsi="仿宋" w:eastAsia="仿宋"/>
          <w:b w:val="0"/>
          <w:bCs/>
          <w:color w:val="000000" w:themeColor="text1"/>
          <w:sz w:val="32"/>
          <w:szCs w:val="32"/>
        </w:rPr>
      </w:pPr>
      <w:r>
        <w:rPr>
          <w:rStyle w:val="14"/>
          <w:rFonts w:hint="eastAsia" w:ascii="仿宋" w:hAnsi="仿宋" w:eastAsia="仿宋"/>
          <w:bCs/>
          <w:color w:val="000000" w:themeColor="text1"/>
          <w:sz w:val="32"/>
          <w:szCs w:val="32"/>
        </w:rPr>
        <w:t>9.住房保障（类）住房改革支出（款）住房公积金（项）</w:t>
      </w:r>
      <w:r>
        <w:rPr>
          <w:rStyle w:val="14"/>
          <w:rFonts w:ascii="仿宋" w:hAnsi="仿宋" w:eastAsia="仿宋"/>
          <w:bCs/>
          <w:color w:val="000000" w:themeColor="text1"/>
          <w:sz w:val="32"/>
          <w:szCs w:val="32"/>
        </w:rPr>
        <w:t>:</w:t>
      </w:r>
      <w:r>
        <w:rPr>
          <w:rStyle w:val="14"/>
          <w:rFonts w:hint="eastAsia" w:ascii="仿宋" w:hAnsi="仿宋" w:eastAsia="仿宋"/>
          <w:b w:val="0"/>
          <w:bCs/>
          <w:color w:val="000000" w:themeColor="text1"/>
          <w:sz w:val="32"/>
          <w:szCs w:val="32"/>
        </w:rPr>
        <w:t>支出决算为46.64万元，完成预算100</w:t>
      </w:r>
      <w:r>
        <w:rPr>
          <w:rStyle w:val="14"/>
          <w:rFonts w:ascii="仿宋" w:hAnsi="仿宋" w:eastAsia="仿宋"/>
          <w:b w:val="0"/>
          <w:bCs/>
          <w:color w:val="000000" w:themeColor="text1"/>
          <w:sz w:val="32"/>
          <w:szCs w:val="32"/>
        </w:rPr>
        <w:t>%</w:t>
      </w:r>
      <w:r>
        <w:rPr>
          <w:rStyle w:val="14"/>
          <w:rFonts w:hint="eastAsia" w:ascii="仿宋" w:hAnsi="仿宋" w:eastAsia="仿宋"/>
          <w:b w:val="0"/>
          <w:bCs/>
          <w:color w:val="000000" w:themeColor="text1"/>
          <w:sz w:val="32"/>
          <w:szCs w:val="32"/>
        </w:rPr>
        <w:t>，决算数等于预算数。</w:t>
      </w:r>
    </w:p>
    <w:p>
      <w:pPr>
        <w:tabs>
          <w:tab w:val="right" w:pos="8306"/>
        </w:tabs>
        <w:spacing w:line="600" w:lineRule="atLeast"/>
        <w:ind w:firstLine="627" w:firstLineChars="196"/>
        <w:outlineLvl w:val="1"/>
        <w:rPr>
          <w:rStyle w:val="25"/>
        </w:rPr>
      </w:pPr>
      <w:bookmarkStart w:id="34" w:name="_Toc15396608"/>
      <w:bookmarkStart w:id="3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atLeas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20年一般公共预算财政拨款基本支出799.23万元，其中：</w:t>
      </w:r>
    </w:p>
    <w:p>
      <w:pPr>
        <w:spacing w:line="600" w:lineRule="atLeast"/>
        <w:ind w:firstLine="645"/>
      </w:pPr>
      <w:r>
        <w:rPr>
          <w:rFonts w:hint="eastAsia" w:ascii="仿宋" w:hAnsi="仿宋" w:eastAsia="仿宋"/>
          <w:color w:val="000000"/>
          <w:sz w:val="32"/>
          <w:szCs w:val="32"/>
        </w:rPr>
        <w:t>人员经费592.32万元，主要包括：基本工资、津贴补贴、奖金、绩效工资、机关事业单位基本养老保险缴费、职业年金缴费、其他社会保障缴费、其他工资福利支出、离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w:t>
      </w:r>
      <w:r>
        <w:rPr>
          <w:rFonts w:hint="eastAsia" w:ascii="仿宋" w:hAnsi="仿宋" w:eastAsia="仿宋"/>
          <w:color w:val="000000" w:themeColor="text1"/>
          <w:sz w:val="32"/>
          <w:szCs w:val="32"/>
        </w:rPr>
        <w:t>公用经费</w:t>
      </w:r>
      <w:r>
        <w:rPr>
          <w:rFonts w:hint="eastAsia" w:ascii="仿宋" w:hAnsi="仿宋" w:eastAsia="仿宋"/>
          <w:color w:val="000000"/>
          <w:sz w:val="32"/>
          <w:szCs w:val="32"/>
        </w:rPr>
        <w:t>206.91万元，主要包括：办公费、水费、电费、邮电费、物业管理费、差旅费、维修（护）费、租赁费、会议费、培训费、公务接待费、委托业务费、工会经费、福利费、公务用车运行维护费、其他交通费、其他商品和服务支出、办公设备购置等。</w:t>
      </w:r>
    </w:p>
    <w:p>
      <w:pPr>
        <w:spacing w:line="600" w:lineRule="atLeast"/>
        <w:ind w:firstLine="627" w:firstLineChars="196"/>
        <w:outlineLvl w:val="1"/>
        <w:rPr>
          <w:rStyle w:val="25"/>
          <w:rFonts w:ascii="黑体" w:hAnsi="黑体" w:eastAsia="黑体"/>
          <w:b w:val="0"/>
        </w:rPr>
      </w:pPr>
      <w:bookmarkStart w:id="36" w:name="_Toc15396609"/>
      <w:bookmarkStart w:id="3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6"/>
      <w:bookmarkEnd w:id="37"/>
    </w:p>
    <w:p>
      <w:pPr>
        <w:spacing w:line="600" w:lineRule="atLeast"/>
        <w:ind w:firstLine="640"/>
        <w:outlineLvl w:val="2"/>
        <w:rPr>
          <w:rFonts w:ascii="仿宋" w:hAnsi="仿宋" w:eastAsia="仿宋"/>
          <w:b/>
          <w:color w:val="000000"/>
          <w:sz w:val="32"/>
          <w:szCs w:val="32"/>
        </w:rPr>
      </w:pPr>
      <w:bookmarkStart w:id="38" w:name="_Toc15377216"/>
      <w:r>
        <w:rPr>
          <w:rFonts w:hint="eastAsia" w:ascii="仿宋" w:hAnsi="仿宋" w:eastAsia="仿宋"/>
          <w:b/>
          <w:color w:val="000000"/>
          <w:sz w:val="32"/>
          <w:szCs w:val="32"/>
        </w:rPr>
        <w:t>（一）“三公”经费财政拨款支出决算总体情况说明</w:t>
      </w:r>
      <w:bookmarkEnd w:id="38"/>
    </w:p>
    <w:p>
      <w:pPr>
        <w:spacing w:line="600" w:lineRule="atLeas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20年“三公”经费财政拨款支出决算为48万元，完成预算64.86</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，决算数小于预算数的主要原因是厉行节约大力压缩三公经费支出。</w:t>
      </w:r>
    </w:p>
    <w:p>
      <w:pPr>
        <w:spacing w:line="600" w:lineRule="atLeast"/>
        <w:ind w:firstLine="640"/>
        <w:outlineLvl w:val="2"/>
        <w:rPr>
          <w:rFonts w:ascii="仿宋" w:hAnsi="仿宋" w:eastAsia="仿宋"/>
          <w:b/>
          <w:color w:val="000000"/>
          <w:sz w:val="32"/>
          <w:szCs w:val="32"/>
        </w:rPr>
      </w:pPr>
      <w:bookmarkStart w:id="39" w:name="_Toc15377217"/>
      <w:r>
        <w:rPr>
          <w:rFonts w:hint="eastAsia" w:ascii="仿宋" w:hAnsi="仿宋" w:eastAsia="仿宋"/>
          <w:b/>
          <w:color w:val="000000"/>
          <w:sz w:val="32"/>
          <w:szCs w:val="32"/>
        </w:rPr>
        <w:t>（二）“三公”经费财政拨款支出决算具体情况说明</w:t>
      </w:r>
      <w:bookmarkEnd w:id="39"/>
    </w:p>
    <w:p>
      <w:pPr>
        <w:spacing w:line="600" w:lineRule="atLeas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；公务用车购置及运行维护费支出决算15.11万元，占31.48</w:t>
      </w:r>
      <w:r>
        <w:rPr>
          <w:rFonts w:ascii="仿宋" w:hAnsi="仿宋" w:eastAsia="仿宋"/>
          <w:color w:val="000000"/>
          <w:sz w:val="32"/>
          <w:szCs w:val="32"/>
        </w:rPr>
        <w:t>%</w:t>
      </w:r>
      <w:r>
        <w:rPr>
          <w:rFonts w:hint="eastAsia" w:ascii="仿宋" w:hAnsi="仿宋" w:eastAsia="仿宋"/>
          <w:color w:val="000000"/>
          <w:sz w:val="32"/>
          <w:szCs w:val="32"/>
        </w:rPr>
        <w:t>；公务接待费支出决算32.89万元，占68.52</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spacing w:before="93"/>
      </w:pPr>
      <w:r>
        <w:drawing>
          <wp:inline distT="0" distB="0" distL="0" distR="0">
            <wp:extent cx="5274310" cy="2640330"/>
            <wp:effectExtent l="0" t="0" r="254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1.</w:t>
      </w:r>
      <w:r>
        <w:rPr>
          <w:rFonts w:hint="eastAsia" w:ascii="仿宋" w:hAnsi="仿宋" w:eastAsia="仿宋"/>
          <w:b/>
          <w:color w:val="000000"/>
          <w:sz w:val="32"/>
          <w:szCs w:val="32"/>
        </w:rPr>
        <w:t>因公出国（境）经费支出</w:t>
      </w:r>
      <w:r>
        <w:rPr>
          <w:rFonts w:hint="eastAsia" w:ascii="仿宋" w:hAnsi="仿宋" w:eastAsia="仿宋"/>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全年安排因公出国（境）团组0次，出国（境）0人。因公出国（境）支出决算与</w:t>
      </w:r>
      <w:r>
        <w:rPr>
          <w:rFonts w:ascii="仿宋" w:hAnsi="仿宋" w:eastAsia="仿宋"/>
          <w:color w:val="000000"/>
          <w:sz w:val="32"/>
          <w:szCs w:val="32"/>
        </w:rPr>
        <w:t>201</w:t>
      </w:r>
      <w:r>
        <w:rPr>
          <w:rFonts w:hint="eastAsia" w:ascii="仿宋" w:hAnsi="仿宋" w:eastAsia="仿宋"/>
          <w:color w:val="000000"/>
          <w:sz w:val="32"/>
          <w:szCs w:val="32"/>
        </w:rPr>
        <w:t>9年持平。</w:t>
      </w:r>
    </w:p>
    <w:p>
      <w:pPr>
        <w:spacing w:line="600" w:lineRule="exact"/>
        <w:ind w:firstLine="640"/>
        <w:rPr>
          <w:rFonts w:ascii="仿宋" w:hAnsi="仿宋" w:eastAsia="仿宋"/>
          <w:b/>
          <w:color w:val="000000"/>
          <w:sz w:val="32"/>
          <w:szCs w:val="32"/>
        </w:rPr>
      </w:pPr>
      <w:r>
        <w:rPr>
          <w:rFonts w:ascii="仿宋" w:hAnsi="仿宋" w:eastAsia="仿宋"/>
          <w:b/>
          <w:color w:val="000000"/>
          <w:sz w:val="32"/>
          <w:szCs w:val="32"/>
        </w:rPr>
        <w:t>2.</w:t>
      </w:r>
      <w:r>
        <w:rPr>
          <w:rFonts w:hint="eastAsia" w:ascii="仿宋" w:hAnsi="仿宋" w:eastAsia="仿宋"/>
          <w:b/>
          <w:color w:val="000000"/>
          <w:sz w:val="32"/>
          <w:szCs w:val="32"/>
        </w:rPr>
        <w:t>公务用车购置及运行维护费支出</w:t>
      </w:r>
      <w:r>
        <w:rPr>
          <w:rFonts w:hint="eastAsia" w:ascii="仿宋" w:hAnsi="仿宋" w:eastAsia="仿宋"/>
          <w:color w:val="000000"/>
          <w:sz w:val="32"/>
          <w:szCs w:val="32"/>
        </w:rPr>
        <w:t>15.11万元,</w:t>
      </w:r>
      <w:r>
        <w:rPr>
          <w:rStyle w:val="14"/>
          <w:rFonts w:hint="eastAsia" w:ascii="仿宋" w:hAnsi="仿宋" w:eastAsia="仿宋"/>
          <w:b w:val="0"/>
          <w:bCs/>
          <w:color w:val="000000"/>
          <w:sz w:val="32"/>
          <w:szCs w:val="32"/>
        </w:rPr>
        <w:t>完成预算83.94</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公务用车购置及运行维护费支出决算比</w:t>
      </w:r>
      <w:r>
        <w:rPr>
          <w:rFonts w:ascii="仿宋" w:hAnsi="仿宋" w:eastAsia="仿宋"/>
          <w:color w:val="000000"/>
          <w:sz w:val="32"/>
          <w:szCs w:val="32"/>
        </w:rPr>
        <w:t>201</w:t>
      </w:r>
      <w:r>
        <w:rPr>
          <w:rFonts w:hint="eastAsia" w:ascii="仿宋" w:hAnsi="仿宋" w:eastAsia="仿宋"/>
          <w:color w:val="000000"/>
          <w:sz w:val="32"/>
          <w:szCs w:val="32"/>
        </w:rPr>
        <w:t>9年减少1.88万元，下降11.05</w:t>
      </w:r>
      <w:r>
        <w:rPr>
          <w:rFonts w:ascii="仿宋" w:hAnsi="仿宋" w:eastAsia="仿宋"/>
          <w:color w:val="000000"/>
          <w:sz w:val="32"/>
          <w:szCs w:val="32"/>
        </w:rPr>
        <w:t>%</w:t>
      </w:r>
      <w:r>
        <w:rPr>
          <w:rFonts w:hint="eastAsia" w:ascii="仿宋" w:hAnsi="仿宋" w:eastAsia="仿宋"/>
          <w:color w:val="000000"/>
          <w:sz w:val="32"/>
          <w:szCs w:val="32"/>
        </w:rPr>
        <w:t>。主要原因是厉行节约压缩三公经费支出。</w:t>
      </w:r>
    </w:p>
    <w:p>
      <w:pPr>
        <w:spacing w:line="600" w:lineRule="exact"/>
        <w:ind w:firstLine="640" w:firstLineChars="200"/>
        <w:rPr>
          <w:rFonts w:ascii="仿宋" w:hAnsi="仿宋" w:eastAsia="仿宋"/>
          <w:b/>
          <w:color w:val="000000"/>
          <w:sz w:val="32"/>
          <w:szCs w:val="32"/>
        </w:rPr>
      </w:pPr>
      <w:r>
        <w:rPr>
          <w:rFonts w:hint="eastAsia" w:ascii="仿宋" w:hAnsi="仿宋" w:eastAsia="仿宋"/>
          <w:color w:val="000000"/>
          <w:sz w:val="32"/>
          <w:szCs w:val="32"/>
        </w:rPr>
        <w:t>其中：</w:t>
      </w:r>
      <w:r>
        <w:rPr>
          <w:rFonts w:hint="eastAsia" w:ascii="仿宋" w:hAnsi="仿宋" w:eastAsia="仿宋"/>
          <w:b/>
          <w:color w:val="000000"/>
          <w:sz w:val="32"/>
          <w:szCs w:val="32"/>
        </w:rPr>
        <w:t>公务用车购置支出</w:t>
      </w:r>
      <w:r>
        <w:rPr>
          <w:rFonts w:hint="eastAsia" w:ascii="仿宋" w:hAnsi="仿宋" w:eastAsia="仿宋"/>
          <w:color w:val="000000"/>
          <w:sz w:val="32"/>
          <w:szCs w:val="32"/>
        </w:rPr>
        <w:t>0万元。其中：公务用车购置支出0万元。全年按规定更新购置公务用车1辆（上级部门调拨1辆）。截至2020年12月底，单位共有公务用车7辆，其中：轿车3辆、越野车1辆、商务车2辆，载客汽车1辆。</w:t>
      </w:r>
    </w:p>
    <w:p>
      <w:pPr>
        <w:spacing w:line="600" w:lineRule="exact"/>
        <w:ind w:firstLine="640"/>
        <w:rPr>
          <w:rFonts w:ascii="仿宋" w:hAnsi="仿宋" w:eastAsia="仿宋"/>
          <w:color w:val="000000"/>
          <w:sz w:val="32"/>
          <w:szCs w:val="32"/>
        </w:rPr>
      </w:pPr>
      <w:r>
        <w:rPr>
          <w:rFonts w:hint="eastAsia" w:ascii="仿宋" w:hAnsi="仿宋" w:eastAsia="仿宋"/>
          <w:b/>
          <w:color w:val="000000"/>
          <w:sz w:val="32"/>
          <w:szCs w:val="32"/>
        </w:rPr>
        <w:t>公务用车运行维护费支出</w:t>
      </w:r>
      <w:r>
        <w:rPr>
          <w:rFonts w:hint="eastAsia" w:ascii="仿宋" w:hAnsi="仿宋" w:eastAsia="仿宋"/>
          <w:color w:val="000000"/>
          <w:sz w:val="32"/>
          <w:szCs w:val="32"/>
        </w:rPr>
        <w:t>15.11万元。主要用于开展招商引资、</w:t>
      </w:r>
      <w:r>
        <w:rPr>
          <w:rFonts w:ascii="仿宋" w:hAnsi="仿宋" w:eastAsia="仿宋"/>
          <w:color w:val="000000"/>
          <w:sz w:val="32"/>
          <w:szCs w:val="32"/>
        </w:rPr>
        <w:t>劳务慰问工作</w:t>
      </w:r>
      <w:r>
        <w:rPr>
          <w:rFonts w:hint="eastAsia" w:ascii="仿宋" w:hAnsi="仿宋" w:eastAsia="仿宋"/>
          <w:color w:val="000000"/>
          <w:sz w:val="32"/>
          <w:szCs w:val="32"/>
        </w:rPr>
        <w:t>等所需的公务用车燃料费、维修费、过路过桥费、保险费等支出。</w:t>
      </w:r>
    </w:p>
    <w:p>
      <w:pPr>
        <w:spacing w:line="600" w:lineRule="exact"/>
        <w:ind w:firstLine="640"/>
        <w:rPr>
          <w:rFonts w:ascii="仿宋" w:hAnsi="仿宋" w:eastAsia="仿宋"/>
          <w:color w:val="000000"/>
          <w:sz w:val="32"/>
          <w:szCs w:val="32"/>
        </w:rPr>
      </w:pPr>
      <w:r>
        <w:rPr>
          <w:rFonts w:ascii="仿宋" w:hAnsi="仿宋" w:eastAsia="仿宋"/>
          <w:b/>
          <w:color w:val="000000"/>
          <w:sz w:val="32"/>
          <w:szCs w:val="32"/>
        </w:rPr>
        <w:t>3.</w:t>
      </w:r>
      <w:r>
        <w:rPr>
          <w:rFonts w:hint="eastAsia" w:ascii="仿宋" w:hAnsi="仿宋" w:eastAsia="仿宋"/>
          <w:b/>
          <w:color w:val="000000"/>
          <w:sz w:val="32"/>
          <w:szCs w:val="32"/>
        </w:rPr>
        <w:t>公务接待费支出</w:t>
      </w:r>
      <w:r>
        <w:rPr>
          <w:rFonts w:hint="eastAsia" w:ascii="仿宋" w:hAnsi="仿宋" w:eastAsia="仿宋"/>
          <w:color w:val="000000"/>
          <w:sz w:val="32"/>
          <w:szCs w:val="32"/>
        </w:rPr>
        <w:t>32.89万元，</w:t>
      </w:r>
      <w:r>
        <w:rPr>
          <w:rStyle w:val="14"/>
          <w:rFonts w:hint="eastAsia" w:ascii="仿宋" w:hAnsi="仿宋" w:eastAsia="仿宋"/>
          <w:b w:val="0"/>
          <w:bCs/>
          <w:color w:val="000000"/>
          <w:sz w:val="32"/>
          <w:szCs w:val="32"/>
        </w:rPr>
        <w:t>完成预算68.52</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 w:hAnsi="仿宋" w:eastAsia="仿宋"/>
          <w:color w:val="000000"/>
          <w:sz w:val="32"/>
          <w:szCs w:val="32"/>
        </w:rPr>
        <w:t>公务接待费支出决算比</w:t>
      </w:r>
      <w:r>
        <w:rPr>
          <w:rFonts w:ascii="仿宋" w:hAnsi="仿宋" w:eastAsia="仿宋"/>
          <w:color w:val="000000"/>
          <w:sz w:val="32"/>
          <w:szCs w:val="32"/>
        </w:rPr>
        <w:t>201</w:t>
      </w:r>
      <w:r>
        <w:rPr>
          <w:rFonts w:hint="eastAsia" w:ascii="仿宋" w:hAnsi="仿宋" w:eastAsia="仿宋"/>
          <w:color w:val="000000"/>
          <w:sz w:val="32"/>
          <w:szCs w:val="32"/>
        </w:rPr>
        <w:t>9年减少6.45万元，下降16.4</w:t>
      </w:r>
      <w:r>
        <w:rPr>
          <w:rFonts w:ascii="仿宋" w:hAnsi="仿宋" w:eastAsia="仿宋"/>
          <w:color w:val="000000"/>
          <w:sz w:val="32"/>
          <w:szCs w:val="32"/>
        </w:rPr>
        <w:t>%</w:t>
      </w:r>
      <w:r>
        <w:rPr>
          <w:rFonts w:hint="eastAsia" w:ascii="仿宋" w:hAnsi="仿宋" w:eastAsia="仿宋"/>
          <w:color w:val="000000"/>
          <w:sz w:val="32"/>
          <w:szCs w:val="32"/>
        </w:rPr>
        <w:t>。主要原因是厉行节约压缩三公经费支出。其中：</w:t>
      </w:r>
    </w:p>
    <w:p>
      <w:pPr>
        <w:snapToGrid w:val="0"/>
        <w:spacing w:line="600" w:lineRule="exact"/>
        <w:ind w:firstLine="642" w:firstLineChars="200"/>
        <w:outlineLvl w:val="0"/>
        <w:rPr>
          <w:rFonts w:ascii="仿宋" w:hAnsi="仿宋" w:eastAsia="仿宋"/>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rPr>
        <w:t>32.89万元，主要用于投资促进活动、执行公务、开展业务活动开支的交通费、用餐费等。国内公务接待</w:t>
      </w:r>
      <w:r>
        <w:rPr>
          <w:rFonts w:hint="eastAsia" w:ascii="仿宋" w:hAnsi="仿宋" w:eastAsia="仿宋"/>
          <w:b/>
          <w:sz w:val="32"/>
          <w:szCs w:val="32"/>
        </w:rPr>
        <w:t>183批次，2741人次</w:t>
      </w:r>
      <w:r>
        <w:rPr>
          <w:rFonts w:hint="eastAsia" w:ascii="仿宋" w:hAnsi="仿宋" w:eastAsia="仿宋"/>
          <w:color w:val="000000"/>
          <w:sz w:val="32"/>
          <w:szCs w:val="32"/>
        </w:rPr>
        <w:t>（不包括陪同人员），共计支出32.89万元，具体内容包括：举办2020年中外企业四川行、川商发展大会等系列重大投资促进活动，以及川商返乡日常开展投资促进活动的客商接待。</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20年政府性基金预算</w:t>
      </w:r>
      <w:r>
        <w:rPr>
          <w:rFonts w:hint="eastAsia" w:ascii="仿宋" w:hAnsi="仿宋" w:eastAsia="仿宋"/>
          <w:color w:val="000000" w:themeColor="text1"/>
          <w:sz w:val="32"/>
          <w:szCs w:val="32"/>
        </w:rPr>
        <w:t>财政</w:t>
      </w:r>
      <w:r>
        <w:rPr>
          <w:rFonts w:hint="eastAsia" w:ascii="仿宋" w:hAnsi="仿宋" w:eastAsia="仿宋"/>
          <w:color w:val="000000"/>
          <w:sz w:val="32"/>
          <w:szCs w:val="32"/>
        </w:rPr>
        <w:t>拨款支出0万元。</w:t>
      </w:r>
    </w:p>
    <w:p>
      <w:pPr>
        <w:numPr>
          <w:ilvl w:val="0"/>
          <w:numId w:val="3"/>
        </w:numPr>
        <w:spacing w:line="600" w:lineRule="exact"/>
        <w:ind w:firstLine="640"/>
        <w:outlineLvl w:val="1"/>
        <w:rPr>
          <w:rStyle w:val="25"/>
          <w:rFonts w:ascii="黑体" w:hAnsi="黑体" w:eastAsia="黑体"/>
          <w:b w:val="0"/>
        </w:rPr>
      </w:pPr>
      <w:bookmarkStart w:id="42" w:name="_Toc15377219"/>
      <w:bookmarkStart w:id="43" w:name="_Toc15396611"/>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20年国有资本经营预</w:t>
      </w:r>
      <w:r>
        <w:rPr>
          <w:rFonts w:hint="eastAsia" w:ascii="仿宋" w:hAnsi="仿宋" w:eastAsia="仿宋"/>
          <w:color w:val="000000" w:themeColor="text1"/>
          <w:sz w:val="32"/>
          <w:szCs w:val="32"/>
        </w:rPr>
        <w:t>算财政</w:t>
      </w:r>
      <w:r>
        <w:rPr>
          <w:rFonts w:hint="eastAsia" w:ascii="仿宋" w:hAnsi="仿宋" w:eastAsia="仿宋"/>
          <w:color w:val="000000"/>
          <w:sz w:val="32"/>
          <w:szCs w:val="32"/>
        </w:rPr>
        <w:t>拨款支出0万元。</w:t>
      </w:r>
    </w:p>
    <w:p>
      <w:pPr>
        <w:numPr>
          <w:ilvl w:val="0"/>
          <w:numId w:val="3"/>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color w:val="000000"/>
          <w:sz w:val="32"/>
          <w:szCs w:val="32"/>
        </w:rPr>
      </w:pPr>
      <w:bookmarkStart w:id="46" w:name="_Toc15377222"/>
      <w:r>
        <w:rPr>
          <w:rFonts w:hint="eastAsia" w:ascii="仿宋" w:hAnsi="仿宋" w:eastAsia="仿宋"/>
          <w:b/>
          <w:color w:val="000000"/>
          <w:sz w:val="32"/>
          <w:szCs w:val="32"/>
        </w:rPr>
        <w:t>（一）机关运行经费支出情况</w:t>
      </w:r>
      <w:bookmarkEnd w:id="46"/>
    </w:p>
    <w:p>
      <w:pPr>
        <w:spacing w:line="600" w:lineRule="exact"/>
        <w:ind w:firstLine="640" w:firstLineChars="200"/>
        <w:rPr>
          <w:rFonts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20年，四川</w:t>
      </w:r>
      <w:r>
        <w:rPr>
          <w:rFonts w:ascii="仿宋" w:hAnsi="仿宋" w:eastAsia="仿宋"/>
          <w:color w:val="000000"/>
          <w:sz w:val="32"/>
          <w:szCs w:val="32"/>
        </w:rPr>
        <w:t>沪办</w:t>
      </w:r>
      <w:r>
        <w:rPr>
          <w:rFonts w:hint="eastAsia" w:ascii="仿宋" w:hAnsi="仿宋" w:eastAsia="仿宋"/>
          <w:color w:val="000000"/>
          <w:sz w:val="32"/>
          <w:szCs w:val="32"/>
        </w:rPr>
        <w:t>机关运行经费支出206.91万元，比</w:t>
      </w:r>
      <w:r>
        <w:rPr>
          <w:rFonts w:ascii="仿宋" w:hAnsi="仿宋" w:eastAsia="仿宋"/>
          <w:color w:val="000000"/>
          <w:sz w:val="32"/>
          <w:szCs w:val="32"/>
        </w:rPr>
        <w:t>201</w:t>
      </w:r>
      <w:r>
        <w:rPr>
          <w:rFonts w:hint="eastAsia" w:ascii="仿宋" w:hAnsi="仿宋" w:eastAsia="仿宋"/>
          <w:color w:val="000000"/>
          <w:sz w:val="32"/>
          <w:szCs w:val="32"/>
        </w:rPr>
        <w:t>9年减少25.26万元，下降10.88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主要原因是厉行节约压缩机关运行经费支出。</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7" w:name="_Toc15377223"/>
      <w:r>
        <w:rPr>
          <w:rFonts w:hint="eastAsia" w:ascii="仿宋" w:hAnsi="仿宋" w:eastAsia="仿宋"/>
          <w:b/>
          <w:color w:val="000000"/>
          <w:sz w:val="32"/>
          <w:szCs w:val="32"/>
        </w:rPr>
        <w:t>（二）政府采购支出情况</w:t>
      </w:r>
      <w:bookmarkEnd w:id="4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20年，四川</w:t>
      </w:r>
      <w:r>
        <w:rPr>
          <w:rFonts w:ascii="仿宋" w:hAnsi="仿宋" w:eastAsia="仿宋"/>
          <w:color w:val="000000"/>
          <w:sz w:val="32"/>
          <w:szCs w:val="32"/>
        </w:rPr>
        <w:t>沪办</w:t>
      </w:r>
      <w:r>
        <w:rPr>
          <w:rFonts w:hint="eastAsia" w:ascii="仿宋" w:hAnsi="仿宋" w:eastAsia="仿宋"/>
          <w:color w:val="000000"/>
          <w:sz w:val="32"/>
          <w:szCs w:val="32"/>
        </w:rPr>
        <w:t>政府采购支出总额25万元，其中：政府采购货物支出10万元、政府采购工程支出0万元、政府采购服务支出15万元。主要用于开展招商引资、劳务慰问等工作需要的车辆维修保养、燃油费、保险费等服务支出。</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rPr>
      </w:pPr>
      <w:bookmarkStart w:id="48" w:name="_Toc15377224"/>
      <w:r>
        <w:rPr>
          <w:rFonts w:hint="eastAsia" w:ascii="仿宋" w:hAnsi="仿宋" w:eastAsia="仿宋"/>
          <w:b/>
          <w:color w:val="000000"/>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截至2020年12月31日，四川沪办共有车辆7辆，其中：主要领导干部用车0辆、机要通信用车1辆、应急保障用车5辆、离退休干部用车1辆。单价50万元以上通用设备0台（套），单价100万元以上专用设备0台（套）。</w:t>
      </w:r>
    </w:p>
    <w:p>
      <w:pPr>
        <w:autoSpaceDE w:val="0"/>
        <w:autoSpaceDN w:val="0"/>
        <w:adjustRightInd w:val="0"/>
        <w:spacing w:line="600" w:lineRule="exact"/>
        <w:ind w:firstLine="420" w:firstLineChars="200"/>
        <w:jc w:val="left"/>
        <w:outlineLvl w:val="2"/>
        <w:rPr>
          <w:rFonts w:ascii="仿宋" w:hAnsi="仿宋" w:eastAsia="仿宋"/>
          <w:b/>
          <w:color w:val="000000" w:themeColor="text1"/>
          <w:sz w:val="32"/>
          <w:szCs w:val="32"/>
        </w:rPr>
      </w:pPr>
      <w:r>
        <w:rPr>
          <w:rFonts w:hint="eastAsia"/>
          <w:color w:val="000000" w:themeColor="text1"/>
        </w:rPr>
        <w:t xml:space="preserve">  </w:t>
      </w:r>
      <w:r>
        <w:rPr>
          <w:rFonts w:hint="eastAsia" w:ascii="仿宋" w:hAnsi="仿宋" w:eastAsia="仿宋"/>
          <w:b/>
          <w:color w:val="000000" w:themeColor="text1"/>
          <w:sz w:val="32"/>
          <w:szCs w:val="32"/>
        </w:rPr>
        <w:t>（四）预算绩效管理情况</w:t>
      </w:r>
    </w:p>
    <w:p>
      <w:pPr>
        <w:autoSpaceDE w:val="0"/>
        <w:autoSpaceDN w:val="0"/>
        <w:adjustRightInd w:val="0"/>
        <w:spacing w:line="600" w:lineRule="exact"/>
        <w:ind w:firstLine="640" w:firstLineChars="200"/>
        <w:jc w:val="left"/>
        <w:rPr>
          <w:rFonts w:ascii="仿宋" w:hAnsi="仿宋" w:eastAsia="仿宋"/>
          <w:b/>
          <w:color w:val="000000" w:themeColor="text1"/>
          <w:sz w:val="32"/>
          <w:szCs w:val="32"/>
        </w:rPr>
      </w:pPr>
      <w:r>
        <w:rPr>
          <w:rFonts w:hint="eastAsia" w:ascii="仿宋" w:hAnsi="仿宋" w:eastAsia="仿宋"/>
          <w:color w:val="000000" w:themeColor="text1"/>
          <w:sz w:val="32"/>
          <w:szCs w:val="32"/>
        </w:rPr>
        <w:t>四川沪办2020年没有100万以上的项目，对0个项目开展了绩效目标完成情况自评。</w:t>
      </w:r>
    </w:p>
    <w:p>
      <w:pPr>
        <w:pStyle w:val="2"/>
        <w:spacing w:before="93"/>
      </w:pPr>
    </w:p>
    <w:p>
      <w:pPr>
        <w:pStyle w:val="2"/>
        <w:spacing w:before="93"/>
      </w:pPr>
    </w:p>
    <w:p>
      <w:pPr>
        <w:pStyle w:val="2"/>
        <w:spacing w:before="93" w:line="600" w:lineRule="exact"/>
      </w:pPr>
    </w:p>
    <w:p>
      <w:pPr>
        <w:numPr>
          <w:ilvl w:val="0"/>
          <w:numId w:val="4"/>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color w:val="000000"/>
          <w:sz w:val="44"/>
          <w:szCs w:val="44"/>
        </w:rPr>
      </w:pPr>
    </w:p>
    <w:p>
      <w:pPr>
        <w:pStyle w:val="22"/>
        <w:spacing w:line="600" w:lineRule="exact"/>
        <w:ind w:firstLine="640" w:firstLineChars="200"/>
        <w:rPr>
          <w:rFonts w:hAnsi="仿宋"/>
          <w:sz w:val="32"/>
          <w:szCs w:val="32"/>
        </w:rPr>
      </w:pPr>
      <w:r>
        <w:rPr>
          <w:rFonts w:hAnsi="仿宋"/>
          <w:sz w:val="32"/>
          <w:szCs w:val="32"/>
        </w:rPr>
        <w:t>1.</w:t>
      </w:r>
      <w:r>
        <w:rPr>
          <w:rFonts w:hint="eastAsia" w:hAnsi="仿宋"/>
          <w:sz w:val="32"/>
          <w:szCs w:val="32"/>
        </w:rPr>
        <w:t>财政拨款收入：指单位从同级财政部门取得的财政预算资金。</w:t>
      </w:r>
    </w:p>
    <w:p>
      <w:pPr>
        <w:pStyle w:val="22"/>
        <w:spacing w:line="600" w:lineRule="exact"/>
        <w:ind w:firstLine="640" w:firstLineChars="200"/>
        <w:rPr>
          <w:rFonts w:hAnsi="仿宋"/>
          <w:sz w:val="32"/>
          <w:szCs w:val="32"/>
        </w:rPr>
      </w:pPr>
      <w:r>
        <w:rPr>
          <w:rFonts w:hint="eastAsia" w:hAnsi="仿宋"/>
          <w:sz w:val="32"/>
          <w:szCs w:val="32"/>
        </w:rPr>
        <w:t>2</w:t>
      </w:r>
      <w:r>
        <w:rPr>
          <w:rFonts w:hAnsi="仿宋"/>
          <w:sz w:val="32"/>
          <w:szCs w:val="32"/>
        </w:rPr>
        <w:t>.</w:t>
      </w:r>
      <w:r>
        <w:rPr>
          <w:rFonts w:hint="eastAsia" w:hAnsi="仿宋"/>
          <w:sz w:val="32"/>
          <w:szCs w:val="32"/>
        </w:rPr>
        <w:t>年初结转和结余：指以前年度尚未完成、结转到本年按有关规定继续使用的资金。</w:t>
      </w:r>
    </w:p>
    <w:p>
      <w:pPr>
        <w:pStyle w:val="22"/>
        <w:spacing w:line="600" w:lineRule="exact"/>
        <w:ind w:firstLine="640" w:firstLineChars="200"/>
        <w:rPr>
          <w:rFonts w:hAnsi="仿宋"/>
          <w:sz w:val="32"/>
          <w:szCs w:val="32"/>
        </w:rPr>
      </w:pPr>
      <w:r>
        <w:rPr>
          <w:rFonts w:hint="eastAsia" w:hAnsi="仿宋"/>
          <w:sz w:val="32"/>
          <w:szCs w:val="32"/>
        </w:rPr>
        <w:t>3</w:t>
      </w:r>
      <w:r>
        <w:rPr>
          <w:rFonts w:hAnsi="仿宋"/>
          <w:sz w:val="32"/>
          <w:szCs w:val="32"/>
        </w:rPr>
        <w:t>.</w:t>
      </w:r>
      <w:r>
        <w:rPr>
          <w:rFonts w:hint="eastAsia" w:hAnsi="仿宋"/>
          <w:sz w:val="32"/>
          <w:szCs w:val="32"/>
        </w:rPr>
        <w:t>结余分配：指事业单位按照会计制度规定缴纳的所得税、提取的专用结余以及转入非财政拨款结余的金额等。</w:t>
      </w:r>
    </w:p>
    <w:p>
      <w:pPr>
        <w:pStyle w:val="22"/>
        <w:spacing w:line="600" w:lineRule="exact"/>
        <w:ind w:firstLine="640" w:firstLineChars="200"/>
        <w:rPr>
          <w:rFonts w:hAnsi="仿宋"/>
          <w:sz w:val="32"/>
          <w:szCs w:val="32"/>
        </w:rPr>
      </w:pPr>
      <w:r>
        <w:rPr>
          <w:rFonts w:hint="eastAsia" w:hAnsi="仿宋"/>
          <w:sz w:val="32"/>
          <w:szCs w:val="32"/>
        </w:rPr>
        <w:t>4.年末结转和结余：指单位按有关规定结转到下年或以后年度继续使用的资金。</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5.一般公共服务（类）商贸事务（款）行政运行（项）: 指用于保障机构正常运行、开展日常工作的基本支出。 </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 xml:space="preserve">6.一般公共服务（类）商贸事务（款）一般行政管理事 务（项）: 指反映行政单位（包括实行公务员管理的事业单 位）未单独设置项级科目的其他项目支出。 </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7.一般公共服务（类）商贸事务（款）招商引资（项）: 指反映用于招商引资、优化经济环境等方面的支出。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8.社会保障和就业（类）行政事业单位离退休（款）未 归口管理的行政单位离退休（项）: 指反映未实行归口管理 的行政单位（包括实行公务员管理的事业单位）开支的离退 休支出。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9.社会保障和就业（类）行政事业单位离退休（款）机 关事业单位基本养老保险缴费支出（项）: 指反映机关事业 单位实施养老保险制度由单位缴纳的基本保险费支出。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10.卫生健康支出（类）行政事业单位医疗（款）行政单 位医疗（项）: 指反映财政部门集中安排的行政单位基本医 疗保险缴费经费，未参加医疗保险的行政单位的公费医疗经 费，按国家规定享受离休人员、红军老战士待遇人员的医疗 经费。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11.卫生健康支出（类）行政事业单位医疗（款）事业单 位医疗（项）: 指反映财政部门集中安排的事业单位基本医 疗保险缴费经费，未参加医疗保险的事业单位的公费医疗经 费，按国家规定享受离休人员待遇的医疗经费。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12.卫生健康支出（类）行政事业单位医疗（款）公务员 医疗补助（项）: 指反映财政部门集中安排的公务员医疗补 助经费。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13.住房保障支出（类）住房改革（款）住房公积金（项）: 指反映行政事业单位按人力资源和社会保障部、财政部规定 的基本工资和津贴补贴以及规定比例为职工缴纳的住房公 积金。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14</w:t>
      </w:r>
      <w:r>
        <w:rPr>
          <w:rFonts w:ascii="仿宋" w:hAnsi="仿宋" w:eastAsia="仿宋"/>
          <w:color w:val="000000"/>
          <w:sz w:val="32"/>
          <w:szCs w:val="32"/>
        </w:rPr>
        <w:t>.</w:t>
      </w:r>
      <w:r>
        <w:rPr>
          <w:rFonts w:hint="eastAsia" w:ascii="仿宋" w:hAnsi="仿宋" w:eastAsia="仿宋"/>
          <w:color w:val="000000"/>
          <w:sz w:val="32"/>
          <w:szCs w:val="32"/>
        </w:rPr>
        <w:t>基本支出：指为保障机构正常运转、完成日常工作任务而发生的人员支出和公用支出。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15</w:t>
      </w:r>
      <w:r>
        <w:rPr>
          <w:rFonts w:ascii="仿宋" w:hAnsi="仿宋" w:eastAsia="仿宋"/>
          <w:color w:val="000000"/>
          <w:sz w:val="32"/>
          <w:szCs w:val="32"/>
        </w:rPr>
        <w:t>.</w:t>
      </w:r>
      <w:r>
        <w:rPr>
          <w:rFonts w:hint="eastAsia" w:ascii="仿宋" w:hAnsi="仿宋" w:eastAsia="仿宋"/>
          <w:color w:val="000000"/>
          <w:sz w:val="32"/>
          <w:szCs w:val="32"/>
        </w:rPr>
        <w:t>项目支出：指在基本支出之外为完成特定行政任务和事业发展目标所发生的支出。</w:t>
      </w:r>
    </w:p>
    <w:p>
      <w:pPr>
        <w:pStyle w:val="22"/>
        <w:spacing w:line="600" w:lineRule="exact"/>
        <w:ind w:firstLine="640" w:firstLineChars="200"/>
        <w:rPr>
          <w:rFonts w:hAnsi="仿宋"/>
          <w:sz w:val="32"/>
          <w:szCs w:val="32"/>
        </w:rPr>
      </w:pPr>
      <w:r>
        <w:rPr>
          <w:rFonts w:hint="eastAsia" w:hAnsi="仿宋"/>
          <w:sz w:val="32"/>
          <w:szCs w:val="32"/>
        </w:rPr>
        <w:t>16</w:t>
      </w:r>
      <w:r>
        <w:rPr>
          <w:rFonts w:hAnsi="仿宋"/>
          <w:sz w:val="32"/>
          <w:szCs w:val="32"/>
        </w:rPr>
        <w:t>.</w:t>
      </w:r>
      <w:r>
        <w:rPr>
          <w:rFonts w:hint="eastAsia" w:hAnsi="仿宋"/>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600" w:lineRule="exact"/>
        <w:ind w:firstLine="640" w:firstLineChars="200"/>
        <w:rPr>
          <w:rFonts w:hAnsi="仿宋"/>
          <w:sz w:val="32"/>
          <w:szCs w:val="32"/>
        </w:rPr>
      </w:pPr>
      <w:r>
        <w:rPr>
          <w:rFonts w:hint="eastAsia" w:hAnsi="仿宋"/>
          <w:sz w:val="32"/>
          <w:szCs w:val="32"/>
        </w:rPr>
        <w:t>17</w:t>
      </w:r>
      <w:r>
        <w:rPr>
          <w:rFonts w:hAnsi="仿宋"/>
          <w:sz w:val="32"/>
          <w:szCs w:val="32"/>
        </w:rPr>
        <w:t>.</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firstLineChars="200"/>
        <w:rPr>
          <w:rFonts w:ascii="仿宋" w:hAnsi="仿宋" w:eastAsia="仿宋"/>
          <w:sz w:val="32"/>
          <w:szCs w:val="32"/>
        </w:rPr>
      </w:pPr>
      <w:r>
        <w:rPr>
          <w:rFonts w:ascii="仿宋" w:hAnsi="仿宋" w:eastAsia="仿宋"/>
          <w:b/>
          <w:color w:val="000000"/>
          <w:sz w:val="44"/>
          <w:szCs w:val="44"/>
        </w:rPr>
        <w:br w:type="page"/>
      </w:r>
    </w:p>
    <w:p>
      <w:pPr>
        <w:spacing w:line="600" w:lineRule="exact"/>
        <w:ind w:firstLine="2560" w:firstLineChars="800"/>
        <w:outlineLvl w:val="0"/>
        <w:rPr>
          <w:rFonts w:ascii="仿宋" w:hAnsi="仿宋" w:eastAsia="仿宋"/>
          <w:color w:val="000000"/>
        </w:rPr>
      </w:pPr>
      <w:r>
        <w:rPr>
          <w:rFonts w:hint="eastAsia" w:ascii="仿宋_GB2312" w:eastAsia="仿宋_GB2312" w:cs="黑体"/>
          <w:sz w:val="32"/>
          <w:szCs w:val="32"/>
        </w:rPr>
        <w:t xml:space="preserve"> </w:t>
      </w:r>
      <w:r>
        <w:rPr>
          <w:rFonts w:hint="eastAsia" w:ascii="黑体" w:hAnsi="黑体" w:eastAsia="黑体"/>
          <w:color w:val="000000"/>
          <w:sz w:val="44"/>
          <w:szCs w:val="44"/>
        </w:rPr>
        <w:t>第</w:t>
      </w:r>
      <w:r>
        <w:rPr>
          <w:rStyle w:val="24"/>
          <w:rFonts w:hint="eastAsia" w:ascii="黑体" w:hAnsi="黑体" w:eastAsia="黑体"/>
          <w:b w:val="0"/>
        </w:rPr>
        <w:t>四部分 附件</w:t>
      </w:r>
    </w:p>
    <w:p>
      <w:pPr>
        <w:pStyle w:val="22"/>
        <w:spacing w:line="600" w:lineRule="exact"/>
        <w:ind w:firstLine="640" w:firstLineChars="200"/>
        <w:rPr>
          <w:rFonts w:hAnsi="仿宋" w:cs="黑体"/>
          <w:sz w:val="32"/>
          <w:szCs w:val="32"/>
        </w:rPr>
      </w:pPr>
      <w:r>
        <w:rPr>
          <w:rFonts w:hAnsi="仿宋" w:cs="黑体"/>
          <w:sz w:val="32"/>
          <w:szCs w:val="32"/>
        </w:rPr>
        <w:t>无</w:t>
      </w:r>
    </w:p>
    <w:p>
      <w:pPr>
        <w:spacing w:line="600" w:lineRule="exact"/>
        <w:jc w:val="center"/>
        <w:outlineLvl w:val="0"/>
        <w:rPr>
          <w:rFonts w:ascii="黑体" w:hAnsi="黑体" w:eastAsia="黑体"/>
          <w:color w:val="000000"/>
          <w:sz w:val="44"/>
          <w:szCs w:val="44"/>
        </w:rPr>
      </w:pPr>
      <w:bookmarkStart w:id="51" w:name="_Toc15377226"/>
      <w:bookmarkStart w:id="52" w:name="_Toc15396618"/>
    </w:p>
    <w:p>
      <w:pPr>
        <w:spacing w:line="600" w:lineRule="exact"/>
        <w:jc w:val="center"/>
        <w:outlineLvl w:val="0"/>
        <w:rPr>
          <w:rFonts w:ascii="仿宋" w:hAnsi="仿宋" w:eastAsia="仿宋"/>
          <w:color w:val="00000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1"/>
      <w:bookmarkEnd w:id="52"/>
      <w:bookmarkStart w:id="53" w:name="_Toc15396619"/>
    </w:p>
    <w:p>
      <w:pPr>
        <w:pStyle w:val="4"/>
        <w:spacing w:before="0" w:after="0" w:line="600" w:lineRule="exact"/>
        <w:rPr>
          <w:rFonts w:ascii="仿宋" w:hAnsi="仿宋" w:eastAsia="仿宋"/>
          <w:b w:val="0"/>
          <w:color w:val="000000"/>
        </w:rPr>
      </w:pPr>
    </w:p>
    <w:p>
      <w:pPr>
        <w:pStyle w:val="4"/>
        <w:spacing w:before="0" w:after="0" w:line="600" w:lineRule="exact"/>
        <w:rPr>
          <w:rFonts w:ascii="仿宋" w:hAnsi="仿宋" w:eastAsia="仿宋"/>
          <w:color w:val="000000"/>
        </w:rPr>
      </w:pPr>
      <w:r>
        <w:rPr>
          <w:rFonts w:hint="eastAsia" w:ascii="仿宋" w:hAnsi="仿宋" w:eastAsia="仿宋"/>
          <w:b w:val="0"/>
          <w:color w:val="000000"/>
        </w:rPr>
        <w:t>一、收</w:t>
      </w:r>
      <w:r>
        <w:rPr>
          <w:rStyle w:val="25"/>
          <w:rFonts w:hint="eastAsia" w:ascii="仿宋" w:hAnsi="仿宋" w:eastAsia="仿宋"/>
          <w:b w:val="0"/>
          <w:bCs w:val="0"/>
        </w:rPr>
        <w:t>入支出决算总表</w:t>
      </w:r>
      <w:bookmarkEnd w:id="53"/>
    </w:p>
    <w:p>
      <w:pPr>
        <w:pStyle w:val="4"/>
        <w:spacing w:before="0" w:after="0" w:line="600" w:lineRule="exact"/>
        <w:rPr>
          <w:rFonts w:ascii="仿宋" w:hAnsi="仿宋" w:eastAsia="仿宋"/>
          <w:color w:val="000000"/>
        </w:rPr>
      </w:pPr>
      <w:bookmarkStart w:id="54"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54"/>
    </w:p>
    <w:p>
      <w:pPr>
        <w:pStyle w:val="4"/>
        <w:spacing w:before="0" w:after="0" w:line="600" w:lineRule="exact"/>
        <w:rPr>
          <w:rFonts w:ascii="仿宋" w:hAnsi="仿宋" w:eastAsia="仿宋"/>
          <w:color w:val="000000"/>
        </w:rPr>
      </w:pPr>
      <w:bookmarkStart w:id="55"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55"/>
    </w:p>
    <w:p>
      <w:pPr>
        <w:pStyle w:val="4"/>
        <w:spacing w:before="0" w:after="0" w:line="600" w:lineRule="exact"/>
        <w:rPr>
          <w:rFonts w:ascii="仿宋" w:hAnsi="仿宋" w:eastAsia="仿宋"/>
          <w:b w:val="0"/>
          <w:color w:val="000000"/>
        </w:rPr>
      </w:pPr>
      <w:bookmarkStart w:id="56"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56"/>
    </w:p>
    <w:p>
      <w:pPr>
        <w:pStyle w:val="4"/>
        <w:spacing w:before="0" w:after="0" w:line="600" w:lineRule="exact"/>
        <w:rPr>
          <w:rStyle w:val="25"/>
          <w:rFonts w:ascii="仿宋" w:hAnsi="仿宋" w:eastAsia="仿宋"/>
          <w:b w:val="0"/>
          <w:bCs w:val="0"/>
        </w:rPr>
      </w:pPr>
      <w:bookmarkStart w:id="57"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57"/>
      <w:bookmarkStart w:id="58" w:name="_Toc15396624"/>
    </w:p>
    <w:p>
      <w:pPr>
        <w:pStyle w:val="4"/>
        <w:spacing w:before="0" w:after="0" w:line="600" w:lineRule="exact"/>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58"/>
    </w:p>
    <w:p>
      <w:pPr>
        <w:pStyle w:val="4"/>
        <w:spacing w:before="0" w:after="0" w:line="600" w:lineRule="exact"/>
        <w:rPr>
          <w:rFonts w:ascii="仿宋" w:hAnsi="仿宋" w:eastAsia="仿宋"/>
          <w:color w:val="000000"/>
        </w:rPr>
      </w:pPr>
      <w:bookmarkStart w:id="59"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59"/>
    </w:p>
    <w:p>
      <w:pPr>
        <w:pStyle w:val="4"/>
        <w:spacing w:before="0" w:after="0" w:line="600" w:lineRule="exact"/>
        <w:rPr>
          <w:rFonts w:ascii="仿宋" w:hAnsi="仿宋" w:eastAsia="仿宋"/>
          <w:color w:val="000000"/>
        </w:rPr>
      </w:pPr>
      <w:bookmarkStart w:id="60"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0"/>
    </w:p>
    <w:p>
      <w:pPr>
        <w:pStyle w:val="4"/>
        <w:spacing w:before="0" w:after="0" w:line="600" w:lineRule="exact"/>
        <w:rPr>
          <w:rFonts w:ascii="仿宋" w:hAnsi="仿宋" w:eastAsia="仿宋"/>
          <w:color w:val="000000"/>
        </w:rPr>
      </w:pPr>
      <w:bookmarkStart w:id="61"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1"/>
    </w:p>
    <w:p>
      <w:pPr>
        <w:pStyle w:val="4"/>
        <w:spacing w:before="0" w:after="0" w:line="600" w:lineRule="exact"/>
        <w:rPr>
          <w:rFonts w:ascii="仿宋" w:hAnsi="仿宋" w:eastAsia="仿宋"/>
          <w:color w:val="000000"/>
        </w:rPr>
      </w:pPr>
      <w:bookmarkStart w:id="62"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2"/>
    </w:p>
    <w:p>
      <w:pPr>
        <w:pStyle w:val="4"/>
        <w:spacing w:before="0" w:after="0" w:line="600" w:lineRule="exact"/>
        <w:rPr>
          <w:rFonts w:ascii="仿宋" w:hAnsi="仿宋" w:eastAsia="仿宋"/>
          <w:color w:val="000000"/>
        </w:rPr>
      </w:pPr>
      <w:bookmarkStart w:id="63"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63"/>
    </w:p>
    <w:p>
      <w:pPr>
        <w:pStyle w:val="4"/>
        <w:spacing w:before="0" w:after="0" w:line="600" w:lineRule="exact"/>
        <w:rPr>
          <w:rFonts w:ascii="仿宋" w:hAnsi="仿宋" w:eastAsia="仿宋"/>
          <w:color w:val="000000"/>
        </w:rPr>
      </w:pPr>
      <w:bookmarkStart w:id="64"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64"/>
    </w:p>
    <w:p>
      <w:pPr>
        <w:pStyle w:val="4"/>
        <w:spacing w:before="0" w:after="0" w:line="600" w:lineRule="exact"/>
        <w:rPr>
          <w:rStyle w:val="25"/>
          <w:rFonts w:ascii="仿宋" w:hAnsi="仿宋" w:eastAsia="仿宋"/>
          <w:b w:val="0"/>
          <w:bCs w:val="0"/>
        </w:rPr>
      </w:pPr>
      <w:bookmarkStart w:id="65"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有资本经营预算财政拨款收入支出决算表</w:t>
      </w:r>
      <w:bookmarkEnd w:id="65"/>
    </w:p>
    <w:p>
      <w:pPr>
        <w:spacing w:line="600" w:lineRule="exact"/>
        <w:rPr>
          <w:rFonts w:eastAsia="仿宋"/>
        </w:rPr>
      </w:pPr>
      <w:r>
        <w:rPr>
          <w:rStyle w:val="25"/>
          <w:rFonts w:hint="eastAsia" w:ascii="仿宋" w:hAnsi="仿宋" w:eastAsia="仿宋"/>
          <w:b w:val="0"/>
          <w:bCs w:val="0"/>
        </w:rPr>
        <w:t>十四、国有资本经营预算财政拨款支出决算表</w:t>
      </w:r>
    </w:p>
    <w:sectPr>
      <w:footerReference r:id="rId7" w:type="default"/>
      <w:footerReference r:id="rId8"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Arial">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9508"/>
      <w:docPartObj>
        <w:docPartGallery w:val="autotext"/>
      </w:docPartObj>
    </w:sdtPr>
    <w:sdtContent>
      <w:p>
        <w:pPr>
          <w:pStyle w:val="8"/>
          <w:jc w:val="right"/>
        </w:pPr>
      </w:p>
    </w:sdtContent>
  </w:sdt>
  <w:p>
    <w:pPr>
      <w:pStyle w:val="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9507"/>
      <w:docPartObj>
        <w:docPartGallery w:val="autotext"/>
      </w:docPartObj>
    </w:sdtPr>
    <w:sdtContent>
      <w:p>
        <w:pPr>
          <w:pStyle w:val="8"/>
        </w:pP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9509"/>
      <w:docPartObj>
        <w:docPartGallery w:val="autotext"/>
      </w:docPartObj>
    </w:sdtPr>
    <w:sdtEndPr>
      <w:rPr>
        <w:color w:val="000000" w:themeColor="text1"/>
      </w:rPr>
    </w:sdtEndPr>
    <w:sdtContent>
      <w:p>
        <w:pPr>
          <w:pStyle w:val="8"/>
          <w:jc w:val="right"/>
          <w:rPr>
            <w:color w:val="000000" w:themeColor="text1"/>
          </w:rPr>
        </w:pPr>
        <w:r>
          <w:rPr>
            <w:rFonts w:hint="eastAsia"/>
          </w:rPr>
          <w:t xml:space="preserve">                        </w:t>
        </w:r>
      </w:p>
    </w:sdtContent>
  </w:sdt>
  <w:p>
    <w:pPr>
      <w:pStyle w:val="8"/>
      <w:rPr>
        <w:color w:val="000000" w:themeColor="text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13 -</w:t>
    </w:r>
    <w:r>
      <w:rPr>
        <w:rFonts w:asciiTheme="minorEastAsia" w:hAnsiTheme="minorEastAsia" w:eastAsiaTheme="minorEastAsia"/>
        <w:sz w:val="28"/>
        <w:szCs w:val="28"/>
      </w:rPr>
      <w:fldChar w:fldCharType="end"/>
    </w:r>
  </w:p>
  <w:p>
    <w:pPr>
      <w:pStyle w:val="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12 -</w:t>
    </w:r>
    <w:r>
      <w:rPr>
        <w:rFonts w:asciiTheme="minorEastAsia" w:hAnsiTheme="minorEastAsia" w:eastAsiaTheme="minorEastAsia"/>
        <w:sz w:val="28"/>
        <w:szCs w:val="28"/>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4D797F"/>
    <w:multiLevelType w:val="singleLevel"/>
    <w:tmpl w:val="C64D797F"/>
    <w:lvl w:ilvl="0" w:tentative="0">
      <w:start w:val="1"/>
      <w:numFmt w:val="chineseCounting"/>
      <w:suff w:val="nothing"/>
      <w:lvlText w:val="%1、"/>
      <w:lvlJc w:val="left"/>
      <w:rPr>
        <w:rFonts w:hint="eastAsia"/>
        <w:lang w:val="en-US"/>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2C92"/>
    <w:rsid w:val="000468DB"/>
    <w:rsid w:val="00051181"/>
    <w:rsid w:val="0006487A"/>
    <w:rsid w:val="00065F8F"/>
    <w:rsid w:val="00070A43"/>
    <w:rsid w:val="000767AB"/>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03886"/>
    <w:rsid w:val="00114E9B"/>
    <w:rsid w:val="00142216"/>
    <w:rsid w:val="00144D6A"/>
    <w:rsid w:val="0014729F"/>
    <w:rsid w:val="00157BAB"/>
    <w:rsid w:val="001654D1"/>
    <w:rsid w:val="00166901"/>
    <w:rsid w:val="00166F9F"/>
    <w:rsid w:val="00171AB2"/>
    <w:rsid w:val="00174518"/>
    <w:rsid w:val="0018106D"/>
    <w:rsid w:val="00183A72"/>
    <w:rsid w:val="001877A7"/>
    <w:rsid w:val="00191536"/>
    <w:rsid w:val="00196687"/>
    <w:rsid w:val="001A5731"/>
    <w:rsid w:val="001C0962"/>
    <w:rsid w:val="001D7531"/>
    <w:rsid w:val="001E737D"/>
    <w:rsid w:val="001F0592"/>
    <w:rsid w:val="001F7506"/>
    <w:rsid w:val="002006CD"/>
    <w:rsid w:val="00202B36"/>
    <w:rsid w:val="00204B7A"/>
    <w:rsid w:val="00204CDE"/>
    <w:rsid w:val="0021101A"/>
    <w:rsid w:val="00220536"/>
    <w:rsid w:val="00235629"/>
    <w:rsid w:val="0024207E"/>
    <w:rsid w:val="00260C38"/>
    <w:rsid w:val="002616C0"/>
    <w:rsid w:val="00261E39"/>
    <w:rsid w:val="00265372"/>
    <w:rsid w:val="002662AA"/>
    <w:rsid w:val="00280496"/>
    <w:rsid w:val="00294DC9"/>
    <w:rsid w:val="00295495"/>
    <w:rsid w:val="002A2E27"/>
    <w:rsid w:val="002A31DE"/>
    <w:rsid w:val="002B2613"/>
    <w:rsid w:val="002D6D05"/>
    <w:rsid w:val="002E426D"/>
    <w:rsid w:val="002E5572"/>
    <w:rsid w:val="002F1818"/>
    <w:rsid w:val="002F3F25"/>
    <w:rsid w:val="002F567B"/>
    <w:rsid w:val="003216A9"/>
    <w:rsid w:val="00325486"/>
    <w:rsid w:val="00335A74"/>
    <w:rsid w:val="00343B18"/>
    <w:rsid w:val="0034532B"/>
    <w:rsid w:val="003638A5"/>
    <w:rsid w:val="0036561B"/>
    <w:rsid w:val="0037013F"/>
    <w:rsid w:val="0037218A"/>
    <w:rsid w:val="00380C92"/>
    <w:rsid w:val="00392406"/>
    <w:rsid w:val="003A484F"/>
    <w:rsid w:val="003A4883"/>
    <w:rsid w:val="003A4E21"/>
    <w:rsid w:val="003B0BE0"/>
    <w:rsid w:val="003B0C1B"/>
    <w:rsid w:val="003B688C"/>
    <w:rsid w:val="003C0291"/>
    <w:rsid w:val="003C39AE"/>
    <w:rsid w:val="003C7B60"/>
    <w:rsid w:val="003D0C0F"/>
    <w:rsid w:val="003D1FB2"/>
    <w:rsid w:val="003D66DA"/>
    <w:rsid w:val="003E1310"/>
    <w:rsid w:val="003E6F55"/>
    <w:rsid w:val="003F57B0"/>
    <w:rsid w:val="0040450A"/>
    <w:rsid w:val="00406254"/>
    <w:rsid w:val="004223DE"/>
    <w:rsid w:val="00434489"/>
    <w:rsid w:val="00437085"/>
    <w:rsid w:val="00437108"/>
    <w:rsid w:val="00443880"/>
    <w:rsid w:val="004464F4"/>
    <w:rsid w:val="00471401"/>
    <w:rsid w:val="00473F31"/>
    <w:rsid w:val="0048263A"/>
    <w:rsid w:val="00487E5D"/>
    <w:rsid w:val="004926BF"/>
    <w:rsid w:val="00496B54"/>
    <w:rsid w:val="00496E00"/>
    <w:rsid w:val="00497863"/>
    <w:rsid w:val="004A711F"/>
    <w:rsid w:val="004B199D"/>
    <w:rsid w:val="004B4690"/>
    <w:rsid w:val="004E0A2D"/>
    <w:rsid w:val="004E206B"/>
    <w:rsid w:val="004E6DF7"/>
    <w:rsid w:val="004F0FBD"/>
    <w:rsid w:val="004F1BFD"/>
    <w:rsid w:val="00505A47"/>
    <w:rsid w:val="00512FDA"/>
    <w:rsid w:val="00520DA0"/>
    <w:rsid w:val="005664BB"/>
    <w:rsid w:val="00566FFA"/>
    <w:rsid w:val="00573CED"/>
    <w:rsid w:val="0057481D"/>
    <w:rsid w:val="00580BFE"/>
    <w:rsid w:val="0058486E"/>
    <w:rsid w:val="00585B33"/>
    <w:rsid w:val="0059014D"/>
    <w:rsid w:val="005A49E4"/>
    <w:rsid w:val="005B5C64"/>
    <w:rsid w:val="005C5337"/>
    <w:rsid w:val="005C6BD0"/>
    <w:rsid w:val="005D1C8B"/>
    <w:rsid w:val="005D3FE1"/>
    <w:rsid w:val="005D468D"/>
    <w:rsid w:val="005D5CED"/>
    <w:rsid w:val="005D78F6"/>
    <w:rsid w:val="005E4F82"/>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79D4"/>
    <w:rsid w:val="006C1937"/>
    <w:rsid w:val="006E4571"/>
    <w:rsid w:val="006F020C"/>
    <w:rsid w:val="00701880"/>
    <w:rsid w:val="007127B7"/>
    <w:rsid w:val="0071798E"/>
    <w:rsid w:val="007222F4"/>
    <w:rsid w:val="007323CC"/>
    <w:rsid w:val="007416B6"/>
    <w:rsid w:val="00746F48"/>
    <w:rsid w:val="0075404D"/>
    <w:rsid w:val="0076182A"/>
    <w:rsid w:val="00767B7E"/>
    <w:rsid w:val="00770EF0"/>
    <w:rsid w:val="00775F3C"/>
    <w:rsid w:val="0077688C"/>
    <w:rsid w:val="007770C3"/>
    <w:rsid w:val="00783901"/>
    <w:rsid w:val="00784D24"/>
    <w:rsid w:val="00785FBA"/>
    <w:rsid w:val="00786E4A"/>
    <w:rsid w:val="007875EB"/>
    <w:rsid w:val="00791E74"/>
    <w:rsid w:val="0079426B"/>
    <w:rsid w:val="007D1682"/>
    <w:rsid w:val="007D312A"/>
    <w:rsid w:val="007D3F19"/>
    <w:rsid w:val="007E23B0"/>
    <w:rsid w:val="007E23E5"/>
    <w:rsid w:val="007E73EC"/>
    <w:rsid w:val="007F1991"/>
    <w:rsid w:val="007F2C2F"/>
    <w:rsid w:val="007F55FC"/>
    <w:rsid w:val="007F5665"/>
    <w:rsid w:val="00800112"/>
    <w:rsid w:val="00813348"/>
    <w:rsid w:val="00817E0C"/>
    <w:rsid w:val="008224FE"/>
    <w:rsid w:val="008253BB"/>
    <w:rsid w:val="0083706E"/>
    <w:rsid w:val="008408F6"/>
    <w:rsid w:val="008423A5"/>
    <w:rsid w:val="00850625"/>
    <w:rsid w:val="00853718"/>
    <w:rsid w:val="00855221"/>
    <w:rsid w:val="00857562"/>
    <w:rsid w:val="00860645"/>
    <w:rsid w:val="00871F71"/>
    <w:rsid w:val="00872FD8"/>
    <w:rsid w:val="00885AF4"/>
    <w:rsid w:val="008914C3"/>
    <w:rsid w:val="008922EF"/>
    <w:rsid w:val="008939CD"/>
    <w:rsid w:val="008B768C"/>
    <w:rsid w:val="008C4DB1"/>
    <w:rsid w:val="008C4EAF"/>
    <w:rsid w:val="008C5176"/>
    <w:rsid w:val="008C7006"/>
    <w:rsid w:val="008C7FD0"/>
    <w:rsid w:val="008E1DE7"/>
    <w:rsid w:val="008E707C"/>
    <w:rsid w:val="00900B08"/>
    <w:rsid w:val="00902155"/>
    <w:rsid w:val="00902FA3"/>
    <w:rsid w:val="009117E3"/>
    <w:rsid w:val="00920491"/>
    <w:rsid w:val="00923564"/>
    <w:rsid w:val="0092392E"/>
    <w:rsid w:val="00930458"/>
    <w:rsid w:val="009315F9"/>
    <w:rsid w:val="00932956"/>
    <w:rsid w:val="00933499"/>
    <w:rsid w:val="00935C98"/>
    <w:rsid w:val="00946945"/>
    <w:rsid w:val="00951248"/>
    <w:rsid w:val="0095152F"/>
    <w:rsid w:val="00954C49"/>
    <w:rsid w:val="00955E37"/>
    <w:rsid w:val="0097099F"/>
    <w:rsid w:val="00971997"/>
    <w:rsid w:val="00971FFC"/>
    <w:rsid w:val="0098660A"/>
    <w:rsid w:val="00987614"/>
    <w:rsid w:val="009901EC"/>
    <w:rsid w:val="009931C3"/>
    <w:rsid w:val="00995728"/>
    <w:rsid w:val="009B2C43"/>
    <w:rsid w:val="009B4EAE"/>
    <w:rsid w:val="009B7573"/>
    <w:rsid w:val="009C22F4"/>
    <w:rsid w:val="009C2A4B"/>
    <w:rsid w:val="009C2E98"/>
    <w:rsid w:val="009D2412"/>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2AD6"/>
    <w:rsid w:val="00A67AB5"/>
    <w:rsid w:val="00A733B2"/>
    <w:rsid w:val="00A741C2"/>
    <w:rsid w:val="00A854CC"/>
    <w:rsid w:val="00A90A72"/>
    <w:rsid w:val="00A91760"/>
    <w:rsid w:val="00A93B00"/>
    <w:rsid w:val="00A93C21"/>
    <w:rsid w:val="00AB64C9"/>
    <w:rsid w:val="00AC3C6A"/>
    <w:rsid w:val="00AD1BE7"/>
    <w:rsid w:val="00AD5620"/>
    <w:rsid w:val="00AD656B"/>
    <w:rsid w:val="00AD7C1B"/>
    <w:rsid w:val="00AE16BA"/>
    <w:rsid w:val="00AE1EBE"/>
    <w:rsid w:val="00AE350B"/>
    <w:rsid w:val="00B03C9D"/>
    <w:rsid w:val="00B060AE"/>
    <w:rsid w:val="00B10517"/>
    <w:rsid w:val="00B14E76"/>
    <w:rsid w:val="00B161B8"/>
    <w:rsid w:val="00B2048C"/>
    <w:rsid w:val="00B310B9"/>
    <w:rsid w:val="00B35F3F"/>
    <w:rsid w:val="00B36CBB"/>
    <w:rsid w:val="00B425E0"/>
    <w:rsid w:val="00B440AA"/>
    <w:rsid w:val="00B44B70"/>
    <w:rsid w:val="00B5186F"/>
    <w:rsid w:val="00B53C56"/>
    <w:rsid w:val="00B57DAF"/>
    <w:rsid w:val="00B659A3"/>
    <w:rsid w:val="00B77EA6"/>
    <w:rsid w:val="00B81598"/>
    <w:rsid w:val="00B841F1"/>
    <w:rsid w:val="00B944D6"/>
    <w:rsid w:val="00BB4DF0"/>
    <w:rsid w:val="00BC289F"/>
    <w:rsid w:val="00BC2D50"/>
    <w:rsid w:val="00BC338B"/>
    <w:rsid w:val="00BC5361"/>
    <w:rsid w:val="00BC5460"/>
    <w:rsid w:val="00BC6B50"/>
    <w:rsid w:val="00BD0E25"/>
    <w:rsid w:val="00BF5BD6"/>
    <w:rsid w:val="00C03E31"/>
    <w:rsid w:val="00C33E72"/>
    <w:rsid w:val="00C354B2"/>
    <w:rsid w:val="00C35554"/>
    <w:rsid w:val="00C42709"/>
    <w:rsid w:val="00C50CC6"/>
    <w:rsid w:val="00C533CC"/>
    <w:rsid w:val="00C5751C"/>
    <w:rsid w:val="00C61BFC"/>
    <w:rsid w:val="00C62B85"/>
    <w:rsid w:val="00C65438"/>
    <w:rsid w:val="00C851BB"/>
    <w:rsid w:val="00C87FD8"/>
    <w:rsid w:val="00C91381"/>
    <w:rsid w:val="00C91CBB"/>
    <w:rsid w:val="00C9540A"/>
    <w:rsid w:val="00CA6892"/>
    <w:rsid w:val="00CB4E70"/>
    <w:rsid w:val="00CC09B6"/>
    <w:rsid w:val="00CC666F"/>
    <w:rsid w:val="00CD1E3F"/>
    <w:rsid w:val="00CE00C3"/>
    <w:rsid w:val="00CE44F6"/>
    <w:rsid w:val="00CE49DA"/>
    <w:rsid w:val="00CE7B61"/>
    <w:rsid w:val="00D00095"/>
    <w:rsid w:val="00D0673C"/>
    <w:rsid w:val="00D114F0"/>
    <w:rsid w:val="00D20620"/>
    <w:rsid w:val="00D254F7"/>
    <w:rsid w:val="00D26091"/>
    <w:rsid w:val="00D2685C"/>
    <w:rsid w:val="00D34E7C"/>
    <w:rsid w:val="00D35489"/>
    <w:rsid w:val="00D36AFE"/>
    <w:rsid w:val="00D434EF"/>
    <w:rsid w:val="00D51276"/>
    <w:rsid w:val="00D7035F"/>
    <w:rsid w:val="00D96F3E"/>
    <w:rsid w:val="00DA634F"/>
    <w:rsid w:val="00DA65AC"/>
    <w:rsid w:val="00DB1913"/>
    <w:rsid w:val="00DB7CFB"/>
    <w:rsid w:val="00DC410D"/>
    <w:rsid w:val="00DC5A81"/>
    <w:rsid w:val="00DC68CA"/>
    <w:rsid w:val="00DC7CBA"/>
    <w:rsid w:val="00DD73B7"/>
    <w:rsid w:val="00DE7041"/>
    <w:rsid w:val="00DF28BC"/>
    <w:rsid w:val="00DF34B9"/>
    <w:rsid w:val="00E00499"/>
    <w:rsid w:val="00E01053"/>
    <w:rsid w:val="00E04E9D"/>
    <w:rsid w:val="00E07ACF"/>
    <w:rsid w:val="00E331A1"/>
    <w:rsid w:val="00E33202"/>
    <w:rsid w:val="00E336A9"/>
    <w:rsid w:val="00E472B1"/>
    <w:rsid w:val="00E50624"/>
    <w:rsid w:val="00E568DF"/>
    <w:rsid w:val="00E64269"/>
    <w:rsid w:val="00E65381"/>
    <w:rsid w:val="00E82267"/>
    <w:rsid w:val="00E853CE"/>
    <w:rsid w:val="00E867B6"/>
    <w:rsid w:val="00EA010F"/>
    <w:rsid w:val="00EB6CE0"/>
    <w:rsid w:val="00ED1B63"/>
    <w:rsid w:val="00ED3C1F"/>
    <w:rsid w:val="00ED4085"/>
    <w:rsid w:val="00ED420E"/>
    <w:rsid w:val="00ED6FBE"/>
    <w:rsid w:val="00EE1FDE"/>
    <w:rsid w:val="00EE2F57"/>
    <w:rsid w:val="00EF4C34"/>
    <w:rsid w:val="00EF77C6"/>
    <w:rsid w:val="00F05438"/>
    <w:rsid w:val="00F1361C"/>
    <w:rsid w:val="00F156F0"/>
    <w:rsid w:val="00F160C7"/>
    <w:rsid w:val="00F16F59"/>
    <w:rsid w:val="00F2408F"/>
    <w:rsid w:val="00F240E9"/>
    <w:rsid w:val="00F33462"/>
    <w:rsid w:val="00F36596"/>
    <w:rsid w:val="00F36D8F"/>
    <w:rsid w:val="00F405B7"/>
    <w:rsid w:val="00F41245"/>
    <w:rsid w:val="00F417B1"/>
    <w:rsid w:val="00F45853"/>
    <w:rsid w:val="00F602DF"/>
    <w:rsid w:val="00F66E60"/>
    <w:rsid w:val="00F754A1"/>
    <w:rsid w:val="00F81FD9"/>
    <w:rsid w:val="00F841AA"/>
    <w:rsid w:val="00F84A94"/>
    <w:rsid w:val="00F87E96"/>
    <w:rsid w:val="00F976C6"/>
    <w:rsid w:val="00FA23E8"/>
    <w:rsid w:val="00FD3CC1"/>
    <w:rsid w:val="00FE2D3B"/>
    <w:rsid w:val="00FF1E02"/>
    <w:rsid w:val="00FF30B4"/>
    <w:rsid w:val="0A2032A3"/>
    <w:rsid w:val="0D4B4245"/>
    <w:rsid w:val="0E385B00"/>
    <w:rsid w:val="10C055FF"/>
    <w:rsid w:val="118107EC"/>
    <w:rsid w:val="16BB723D"/>
    <w:rsid w:val="18015F3F"/>
    <w:rsid w:val="1BE8440E"/>
    <w:rsid w:val="1D155CEE"/>
    <w:rsid w:val="20F57F95"/>
    <w:rsid w:val="240371BF"/>
    <w:rsid w:val="29FD04D3"/>
    <w:rsid w:val="2ABE7A3E"/>
    <w:rsid w:val="319F7F4E"/>
    <w:rsid w:val="3C0C0783"/>
    <w:rsid w:val="496F39ED"/>
    <w:rsid w:val="4BE068DB"/>
    <w:rsid w:val="4BF6002B"/>
    <w:rsid w:val="4ECE2238"/>
    <w:rsid w:val="555F0FB2"/>
    <w:rsid w:val="55EE1808"/>
    <w:rsid w:val="5DFEF774"/>
    <w:rsid w:val="64CA39A1"/>
    <w:rsid w:val="6C4A05C8"/>
    <w:rsid w:val="72734D90"/>
    <w:rsid w:val="7A4C2F01"/>
    <w:rsid w:val="F5F721D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myoffice.accenture.com/personal/yaosheng_yu_accenture_com/Documents/Desktop/temp/wenwen/0817/&#22270;&#244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6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单位</a:t>
            </a:r>
            <a:r>
              <a:rPr lang="en-US"/>
              <a:t>:</a:t>
            </a:r>
            <a:r>
              <a:rPr lang="zh-CN"/>
              <a:t>万元</a:t>
            </a:r>
            <a:endParaRPr lang="en-US"/>
          </a:p>
        </c:rich>
      </c:tx>
      <c:layout>
        <c:manualLayout>
          <c:xMode val="edge"/>
          <c:yMode val="edge"/>
          <c:x val="0.790441690947402"/>
          <c:y val="0.0340425645979442"/>
        </c:manualLayout>
      </c:layout>
      <c:overlay val="false"/>
      <c:spPr>
        <a:noFill/>
        <a:ln>
          <a:noFill/>
        </a:ln>
        <a:effectLst/>
      </c:spPr>
    </c:title>
    <c:autoTitleDeleted val="false"/>
    <c:plotArea>
      <c:layout/>
      <c:barChart>
        <c:barDir val="col"/>
        <c:grouping val="clustered"/>
        <c:varyColors val="false"/>
        <c:ser>
          <c:idx val="0"/>
          <c:order val="0"/>
          <c:tx>
            <c:strRef>
              <c:f>Sheet1!$A$2</c:f>
              <c:strCache>
                <c:ptCount val="1"/>
                <c:pt idx="0">
                  <c:v>2019</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Sheet1!$B$1</c:f>
              <c:strCache>
                <c:ptCount val="1"/>
                <c:pt idx="0">
                  <c:v>金额</c:v>
                </c:pt>
              </c:strCache>
            </c:strRef>
          </c:cat>
          <c:val>
            <c:numRef>
              <c:f>Sheet1!$B$2</c:f>
              <c:numCache>
                <c:formatCode>General</c:formatCode>
                <c:ptCount val="1"/>
                <c:pt idx="0">
                  <c:v>1006.61</c:v>
                </c:pt>
              </c:numCache>
            </c:numRef>
          </c:val>
        </c:ser>
        <c:ser>
          <c:idx val="1"/>
          <c:order val="1"/>
          <c:tx>
            <c:strRef>
              <c:f>Sheet1!$A$3</c:f>
              <c:strCache>
                <c:ptCount val="1"/>
                <c:pt idx="0">
                  <c:v>2020</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Sheet1!$B$1</c:f>
              <c:strCache>
                <c:ptCount val="1"/>
                <c:pt idx="0">
                  <c:v>金额</c:v>
                </c:pt>
              </c:strCache>
            </c:strRef>
          </c:cat>
          <c:val>
            <c:numRef>
              <c:f>Sheet1!$B$3</c:f>
              <c:numCache>
                <c:formatCode>General</c:formatCode>
                <c:ptCount val="1"/>
                <c:pt idx="0">
                  <c:v>984</c:v>
                </c:pt>
              </c:numCache>
            </c:numRef>
          </c:val>
        </c:ser>
        <c:dLbls>
          <c:showLegendKey val="false"/>
          <c:showVal val="true"/>
          <c:showCatName val="false"/>
          <c:showSerName val="false"/>
          <c:showPercent val="false"/>
          <c:showBubbleSize val="false"/>
        </c:dLbls>
        <c:gapWidth val="219"/>
        <c:overlap val="-27"/>
        <c:axId val="213913984"/>
        <c:axId val="213915904"/>
      </c:barChart>
      <c:catAx>
        <c:axId val="213913984"/>
        <c:scaling>
          <c:orientation val="minMax"/>
        </c:scaling>
        <c:delete val="true"/>
        <c:axPos val="b"/>
        <c:title>
          <c:tx>
            <c:rich>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收支决算总计变动情况表</a:t>
                </a:r>
                <a:endParaRPr lang="zh-CN"/>
              </a:p>
            </c:rich>
          </c:tx>
          <c:layout>
            <c:manualLayout>
              <c:xMode val="edge"/>
              <c:yMode val="edge"/>
              <c:x val="0.390784982935155"/>
              <c:y val="0.797662762893093"/>
            </c:manualLayout>
          </c:layout>
          <c:overlay val="false"/>
          <c:spPr>
            <a:noFill/>
            <a:ln>
              <a:noFill/>
            </a:ln>
            <a:effectLst/>
          </c:spPr>
        </c:title>
        <c:numFmt formatCode="General" sourceLinked="true"/>
        <c:majorTickMark val="out"/>
        <c:minorTickMark val="none"/>
        <c:tickLblPos val="nextTo"/>
        <c:txPr>
          <a:bodyPr rot="-60000000" spcFirstLastPara="0" vertOverflow="ellipsis" vert="horz" wrap="square" anchor="ctr" anchorCtr="true"/>
          <a:lstStyle/>
          <a:p>
            <a:pPr>
              <a:defRPr lang="zh-CN" sz="1050" b="0" i="0" u="none" strike="noStrike" kern="1200" baseline="0">
                <a:solidFill>
                  <a:schemeClr val="tx1"/>
                </a:solidFill>
                <a:latin typeface="仿宋" panose="02010609060101010101" pitchFamily="3" charset="-122"/>
                <a:ea typeface="仿宋" panose="02010609060101010101" pitchFamily="3" charset="-122"/>
                <a:cs typeface="+mn-cs"/>
              </a:defRPr>
            </a:pPr>
          </a:p>
        </c:txPr>
        <c:crossAx val="213915904"/>
        <c:crosses val="autoZero"/>
        <c:auto val="true"/>
        <c:lblAlgn val="ctr"/>
        <c:lblOffset val="100"/>
        <c:noMultiLvlLbl val="false"/>
      </c:catAx>
      <c:valAx>
        <c:axId val="213915904"/>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out"/>
        <c:minorTickMark val="none"/>
        <c:tickLblPos val="nextTo"/>
        <c:spPr>
          <a:noFill/>
          <a:ln w="9525" cap="flat" cmpd="sng" algn="ctr">
            <a:noFill/>
            <a:prstDash val="solid"/>
            <a:round/>
          </a:ln>
          <a:effectLst/>
        </c:spPr>
        <c:txPr>
          <a:bodyPr rot="-6000000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213913984"/>
        <c:crosses val="autoZero"/>
        <c:crossBetween val="between"/>
      </c:valAx>
      <c:spPr>
        <a:noFill/>
        <a:ln>
          <a:noFill/>
        </a:ln>
        <a:effectLst/>
      </c:spPr>
    </c:plotArea>
    <c:legend>
      <c:legendPos val="b"/>
      <c:layout>
        <c:manualLayout>
          <c:xMode val="edge"/>
          <c:yMode val="edge"/>
          <c:x val="0.400689401879373"/>
          <c:y val="0.891856367496519"/>
          <c:w val="0.17286458910946"/>
          <c:h val="0.0718090372957069"/>
        </c:manualLayout>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60" b="1" i="0" u="none" strike="noStrike" kern="1200" spc="0" baseline="0">
                <a:solidFill>
                  <a:schemeClr val="tx1"/>
                </a:solidFill>
                <a:latin typeface="仿宋" panose="02010609060101010101" pitchFamily="3" charset="-122"/>
                <a:ea typeface="仿宋" panose="02010609060101010101" pitchFamily="3" charset="-122"/>
                <a:cs typeface="+mn-cs"/>
              </a:defRPr>
            </a:pPr>
            <a:r>
              <a:rPr lang="zh-CN" b="1">
                <a:solidFill>
                  <a:schemeClr val="tx1"/>
                </a:solidFill>
              </a:rPr>
              <a:t>收入结构图</a:t>
            </a:r>
            <a:endParaRPr lang="en-US" b="1">
              <a:solidFill>
                <a:schemeClr val="tx1"/>
              </a:solidFill>
            </a:endParaRPr>
          </a:p>
        </c:rich>
      </c:tx>
      <c:layout/>
      <c:overlay val="false"/>
      <c:spPr>
        <a:noFill/>
        <a:ln>
          <a:noFill/>
        </a:ln>
        <a:effectLst/>
      </c:spPr>
    </c:title>
    <c:autoTitleDeleted val="false"/>
    <c:plotArea>
      <c:layout/>
      <c:pieChart>
        <c:varyColors val="true"/>
        <c:ser>
          <c:idx val="0"/>
          <c:order val="0"/>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Sheet2!$A$1:$A$2</c:f>
              <c:strCache>
                <c:ptCount val="2"/>
                <c:pt idx="0">
                  <c:v>一般公共预算财政拨款收入</c:v>
                </c:pt>
                <c:pt idx="1">
                  <c:v>其他收入</c:v>
                </c:pt>
              </c:strCache>
            </c:strRef>
          </c:cat>
          <c:val>
            <c:numRef>
              <c:f>Sheet2!$B$1:$B$2</c:f>
              <c:numCache>
                <c:formatCode>General</c:formatCode>
                <c:ptCount val="2"/>
                <c:pt idx="0">
                  <c:v>984</c:v>
                </c:pt>
                <c:pt idx="1">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60" b="1" i="0" u="none" strike="noStrike" kern="1200" baseline="0">
                <a:solidFill>
                  <a:schemeClr val="tx1"/>
                </a:solidFill>
                <a:latin typeface="仿宋" panose="02010609060101010101" pitchFamily="3" charset="-122"/>
                <a:ea typeface="仿宋" panose="02010609060101010101" pitchFamily="3" charset="-122"/>
                <a:cs typeface="+mn-cs"/>
              </a:defRPr>
            </a:pPr>
            <a:r>
              <a:rPr lang="zh-CN">
                <a:solidFill>
                  <a:schemeClr val="tx1"/>
                </a:solidFill>
              </a:rPr>
              <a:t>决算支出结构图</a:t>
            </a:r>
            <a:endParaRPr lang="en-US">
              <a:solidFill>
                <a:schemeClr val="tx1"/>
              </a:solidFill>
            </a:endParaRPr>
          </a:p>
        </c:rich>
      </c:tx>
      <c:layout/>
      <c:overlay val="false"/>
      <c:spPr>
        <a:noFill/>
        <a:ln>
          <a:noFill/>
        </a:ln>
        <a:effectLst/>
      </c:spPr>
    </c:title>
    <c:autoTitleDeleted val="false"/>
    <c:plotArea>
      <c:layout/>
      <c:pieChart>
        <c:varyColors val="true"/>
        <c:ser>
          <c:idx val="0"/>
          <c:order val="0"/>
          <c:spPr>
            <a:ln>
              <a:solidFill>
                <a:schemeClr val="accent1"/>
              </a:solidFill>
            </a:ln>
          </c:spPr>
          <c:explosion val="0"/>
          <c:dPt>
            <c:idx val="0"/>
            <c:bubble3D val="false"/>
            <c:spPr>
              <a:gradFill rotWithShape="true">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false"/>
              </a:gradFill>
              <a:ln>
                <a:solidFill>
                  <a:schemeClr val="accent1"/>
                </a:solidFill>
              </a:ln>
              <a:effectLst/>
            </c:spPr>
          </c:dPt>
          <c:dPt>
            <c:idx val="1"/>
            <c:bubble3D val="false"/>
            <c:spPr>
              <a:solidFill>
                <a:schemeClr val="accent2">
                  <a:lumMod val="75000"/>
                </a:schemeClr>
              </a:solidFill>
              <a:ln>
                <a:noFill/>
              </a:ln>
              <a:effectLst/>
            </c:spPr>
          </c:dPt>
          <c:dLbls>
            <c:numFmt formatCode="0.00%" sourceLinked="false"/>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2"/>
                    </a:solidFill>
                    <a:latin typeface="仿宋" panose="02010609060101010101" pitchFamily="3" charset="-122"/>
                    <a:ea typeface="仿宋" panose="02010609060101010101" pitchFamily="3" charset="-122"/>
                    <a:cs typeface="+mn-cs"/>
                  </a:defRPr>
                </a:pPr>
              </a:p>
            </c:txPr>
            <c:dLblPos val="bestFit"/>
            <c:showLegendKey val="false"/>
            <c:showVal val="false"/>
            <c:showCatName val="false"/>
            <c:showSerName val="false"/>
            <c:showPercent val="true"/>
            <c:showBubbleSize val="false"/>
            <c:separator>; </c:separator>
            <c:showLeaderLines val="true"/>
            <c:extLst>
              <c:ext xmlns:c15="http://schemas.microsoft.com/office/drawing/2012/chart" uri="{CE6537A1-D6FC-4f65-9D91-7224C49458BB}">
                <c15:layout/>
                <c15:showLeaderLines val="true"/>
                <c15:leaderLines>
                  <c:spPr>
                    <a:ln w="9525" cap="flat" cmpd="sng" algn="ctr">
                      <a:solidFill>
                        <a:schemeClr val="tx2">
                          <a:lumMod val="35000"/>
                          <a:lumOff val="65000"/>
                        </a:schemeClr>
                      </a:solidFill>
                      <a:prstDash val="solid"/>
                      <a:round/>
                    </a:ln>
                    <a:effectLst/>
                  </c:spPr>
                </c15:leaderLines>
              </c:ext>
            </c:extLst>
          </c:dLbls>
          <c:cat>
            <c:strRef>
              <c:f>Sheet3!$A$1:$A$2</c:f>
              <c:strCache>
                <c:ptCount val="2"/>
                <c:pt idx="0">
                  <c:v>基本支出</c:v>
                </c:pt>
                <c:pt idx="1">
                  <c:v>项目支出</c:v>
                </c:pt>
              </c:strCache>
            </c:strRef>
          </c:cat>
          <c:val>
            <c:numRef>
              <c:f>Sheet3!$B$1:$B$2</c:f>
              <c:numCache>
                <c:formatCode>General</c:formatCode>
                <c:ptCount val="2"/>
                <c:pt idx="0">
                  <c:v>799.23</c:v>
                </c:pt>
                <c:pt idx="1">
                  <c:v>55.35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2"/>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solidFill>
      <a:schemeClr val="bg1"/>
    </a:solidFill>
    <a:ln w="9525" cap="flat" cmpd="sng" algn="ctr">
      <a:solidFill>
        <a:schemeClr val="tx2">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6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单位</a:t>
            </a:r>
            <a:r>
              <a:rPr lang="en-US"/>
              <a:t>:</a:t>
            </a:r>
            <a:r>
              <a:rPr lang="zh-CN"/>
              <a:t>万元</a:t>
            </a:r>
            <a:endParaRPr lang="en-US"/>
          </a:p>
        </c:rich>
      </c:tx>
      <c:layout>
        <c:manualLayout>
          <c:xMode val="edge"/>
          <c:yMode val="edge"/>
          <c:x val="0.790441690947402"/>
          <c:y val="0.0340425645979442"/>
        </c:manualLayout>
      </c:layout>
      <c:overlay val="false"/>
      <c:spPr>
        <a:noFill/>
        <a:ln>
          <a:noFill/>
        </a:ln>
        <a:effectLst/>
      </c:spPr>
    </c:title>
    <c:autoTitleDeleted val="false"/>
    <c:plotArea>
      <c:layout/>
      <c:barChart>
        <c:barDir val="col"/>
        <c:grouping val="clustered"/>
        <c:varyColors val="false"/>
        <c:ser>
          <c:idx val="0"/>
          <c:order val="0"/>
          <c:tx>
            <c:strRef>
              <c:f>Sheet1!$A$2</c:f>
              <c:strCache>
                <c:ptCount val="1"/>
                <c:pt idx="0">
                  <c:v>2019</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Sheet1!$B$1</c:f>
              <c:strCache>
                <c:ptCount val="1"/>
                <c:pt idx="0">
                  <c:v>金额</c:v>
                </c:pt>
              </c:strCache>
            </c:strRef>
          </c:cat>
          <c:val>
            <c:numRef>
              <c:f>Sheet1!$B$2</c:f>
              <c:numCache>
                <c:formatCode>General</c:formatCode>
                <c:ptCount val="1"/>
                <c:pt idx="0">
                  <c:v>1006.61</c:v>
                </c:pt>
              </c:numCache>
            </c:numRef>
          </c:val>
        </c:ser>
        <c:ser>
          <c:idx val="1"/>
          <c:order val="1"/>
          <c:tx>
            <c:strRef>
              <c:f>Sheet1!$A$3</c:f>
              <c:strCache>
                <c:ptCount val="1"/>
                <c:pt idx="0">
                  <c:v>2020</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Sheet1!$B$1</c:f>
              <c:strCache>
                <c:ptCount val="1"/>
                <c:pt idx="0">
                  <c:v>金额</c:v>
                </c:pt>
              </c:strCache>
            </c:strRef>
          </c:cat>
          <c:val>
            <c:numRef>
              <c:f>Sheet1!$B$3</c:f>
              <c:numCache>
                <c:formatCode>General</c:formatCode>
                <c:ptCount val="1"/>
                <c:pt idx="0">
                  <c:v>984</c:v>
                </c:pt>
              </c:numCache>
            </c:numRef>
          </c:val>
        </c:ser>
        <c:dLbls>
          <c:showLegendKey val="false"/>
          <c:showVal val="true"/>
          <c:showCatName val="false"/>
          <c:showSerName val="false"/>
          <c:showPercent val="false"/>
          <c:showBubbleSize val="false"/>
        </c:dLbls>
        <c:gapWidth val="219"/>
        <c:overlap val="-27"/>
        <c:axId val="214009728"/>
        <c:axId val="229703680"/>
      </c:barChart>
      <c:catAx>
        <c:axId val="214009728"/>
        <c:scaling>
          <c:orientation val="minMax"/>
        </c:scaling>
        <c:delete val="true"/>
        <c:axPos val="b"/>
        <c:title>
          <c:tx>
            <c:rich>
              <a:bodyPr rot="0" spcFirstLastPara="1" vertOverflow="ellipsis" vert="horz" wrap="square" anchor="ctr" anchorCtr="true"/>
              <a:lstStyle/>
              <a:p>
                <a:pPr>
                  <a:defRPr lang="zh-CN" sz="1050" b="1"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ltLang="en-US" sz="1050" b="1" i="0" u="none" strike="noStrike" baseline="0"/>
                  <a:t>财政拨款收、支决算总计变动情况</a:t>
                </a:r>
                <a:endParaRPr lang="zh-CN" b="1"/>
              </a:p>
            </c:rich>
          </c:tx>
          <c:layout>
            <c:manualLayout>
              <c:xMode val="edge"/>
              <c:yMode val="edge"/>
              <c:x val="0.3618901808957"/>
              <c:y val="0.79315811874867"/>
            </c:manualLayout>
          </c:layout>
          <c:overlay val="false"/>
          <c:spPr>
            <a:noFill/>
            <a:ln>
              <a:noFill/>
            </a:ln>
            <a:effectLst/>
          </c:spPr>
        </c:title>
        <c:numFmt formatCode="General" sourceLinked="true"/>
        <c:majorTickMark val="out"/>
        <c:minorTickMark val="none"/>
        <c:tickLblPos val="nextTo"/>
        <c:txPr>
          <a:bodyPr rot="-60000000" spcFirstLastPara="0" vertOverflow="ellipsis" vert="horz" wrap="square" anchor="ctr" anchorCtr="true"/>
          <a:lstStyle/>
          <a:p>
            <a:pPr>
              <a:defRPr lang="zh-CN" sz="1050" b="0" i="0" u="none" strike="noStrike" kern="1200" baseline="0">
                <a:solidFill>
                  <a:schemeClr val="tx1"/>
                </a:solidFill>
                <a:latin typeface="仿宋" panose="02010609060101010101" pitchFamily="3" charset="-122"/>
                <a:ea typeface="仿宋" panose="02010609060101010101" pitchFamily="3" charset="-122"/>
                <a:cs typeface="+mn-cs"/>
              </a:defRPr>
            </a:pPr>
          </a:p>
        </c:txPr>
        <c:crossAx val="229703680"/>
        <c:crosses val="autoZero"/>
        <c:auto val="true"/>
        <c:lblAlgn val="ctr"/>
        <c:lblOffset val="100"/>
        <c:noMultiLvlLbl val="false"/>
      </c:catAx>
      <c:valAx>
        <c:axId val="22970368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out"/>
        <c:minorTickMark val="none"/>
        <c:tickLblPos val="nextTo"/>
        <c:spPr>
          <a:noFill/>
          <a:ln w="9525" cap="flat" cmpd="sng" algn="ctr">
            <a:noFill/>
            <a:prstDash val="solid"/>
            <a:round/>
          </a:ln>
          <a:effectLst/>
        </c:spPr>
        <c:txPr>
          <a:bodyPr rot="-6000000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214009728"/>
        <c:crosses val="autoZero"/>
        <c:crossBetween val="between"/>
      </c:valAx>
      <c:spPr>
        <a:noFill/>
        <a:ln>
          <a:noFill/>
        </a:ln>
        <a:effectLst/>
      </c:spPr>
    </c:plotArea>
    <c:legend>
      <c:legendPos val="b"/>
      <c:layout>
        <c:manualLayout>
          <c:xMode val="edge"/>
          <c:yMode val="edge"/>
          <c:x val="0.400689401879373"/>
          <c:y val="0.891856367496519"/>
          <c:w val="0.17286458910946"/>
          <c:h val="0.0718090372957069"/>
        </c:manualLayout>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60" b="0" i="0" u="none" strike="noStrike" kern="1200" spc="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单位：万元</a:t>
            </a:r>
            <a:endParaRPr lang="en-US"/>
          </a:p>
        </c:rich>
      </c:tx>
      <c:layout>
        <c:manualLayout>
          <c:xMode val="edge"/>
          <c:yMode val="edge"/>
          <c:x val="0.792429792429793"/>
          <c:y val="0.0416666666666667"/>
        </c:manualLayout>
      </c:layout>
      <c:overlay val="false"/>
      <c:spPr>
        <a:noFill/>
        <a:ln>
          <a:noFill/>
        </a:ln>
        <a:effectLst/>
      </c:spPr>
    </c:title>
    <c:autoTitleDeleted val="false"/>
    <c:plotArea>
      <c:layout/>
      <c:barChart>
        <c:barDir val="col"/>
        <c:grouping val="clustered"/>
        <c:varyColors val="false"/>
        <c:ser>
          <c:idx val="0"/>
          <c:order val="0"/>
          <c:tx>
            <c:strRef>
              <c:f>Sheet4!$B$1</c:f>
              <c:strCache>
                <c:ptCount val="1"/>
                <c:pt idx="0">
                  <c:v>2019</c:v>
                </c:pt>
              </c:strCache>
            </c:strRef>
          </c:tx>
          <c:spPr>
            <a:solidFill>
              <a:schemeClr val="accent1"/>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Sheet4!$A$2</c:f>
              <c:strCache>
                <c:ptCount val="1"/>
                <c:pt idx="0">
                  <c:v>金额</c:v>
                </c:pt>
              </c:strCache>
            </c:strRef>
          </c:cat>
          <c:val>
            <c:numRef>
              <c:f>Sheet4!$B$2</c:f>
              <c:numCache>
                <c:formatCode>General</c:formatCode>
                <c:ptCount val="1"/>
                <c:pt idx="0">
                  <c:v>785.09</c:v>
                </c:pt>
              </c:numCache>
            </c:numRef>
          </c:val>
        </c:ser>
        <c:ser>
          <c:idx val="1"/>
          <c:order val="1"/>
          <c:tx>
            <c:strRef>
              <c:f>Sheet4!$C$1</c:f>
              <c:strCache>
                <c:ptCount val="1"/>
                <c:pt idx="0">
                  <c:v>2020</c:v>
                </c:pt>
              </c:strCache>
            </c:strRef>
          </c:tx>
          <c:spPr>
            <a:solidFill>
              <a:schemeClr val="accent2"/>
            </a:solidFill>
            <a:ln>
              <a:noFill/>
            </a:ln>
            <a:effectLst/>
          </c:spPr>
          <c:invertIfNegative val="false"/>
          <c:dLbls>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Sheet4!$A$2</c:f>
              <c:strCache>
                <c:ptCount val="1"/>
                <c:pt idx="0">
                  <c:v>金额</c:v>
                </c:pt>
              </c:strCache>
            </c:strRef>
          </c:cat>
          <c:val>
            <c:numRef>
              <c:f>Sheet4!$C$2</c:f>
              <c:numCache>
                <c:formatCode>General</c:formatCode>
                <c:ptCount val="1"/>
                <c:pt idx="0">
                  <c:v>854.58</c:v>
                </c:pt>
              </c:numCache>
            </c:numRef>
          </c:val>
        </c:ser>
        <c:dLbls>
          <c:showLegendKey val="false"/>
          <c:showVal val="true"/>
          <c:showCatName val="false"/>
          <c:showSerName val="false"/>
          <c:showPercent val="false"/>
          <c:showBubbleSize val="false"/>
        </c:dLbls>
        <c:gapWidth val="219"/>
        <c:overlap val="-27"/>
        <c:axId val="229758080"/>
        <c:axId val="229760000"/>
      </c:barChart>
      <c:catAx>
        <c:axId val="229758080"/>
        <c:scaling>
          <c:orientation val="minMax"/>
        </c:scaling>
        <c:delete val="true"/>
        <c:axPos val="b"/>
        <c:title>
          <c:tx>
            <c:rich>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r>
                  <a:rPr lang="zh-CN"/>
                  <a:t>一般公共预算财政拨款支出决算变动情况</a:t>
                </a:r>
                <a:endParaRPr lang="en-US"/>
              </a:p>
            </c:rich>
          </c:tx>
          <c:layout>
            <c:manualLayout>
              <c:xMode val="edge"/>
              <c:yMode val="edge"/>
              <c:x val="0.294296866737812"/>
              <c:y val="0.785068897637796"/>
            </c:manualLayout>
          </c:layout>
          <c:overlay val="false"/>
          <c:spPr>
            <a:noFill/>
            <a:ln>
              <a:noFill/>
            </a:ln>
            <a:effectLst/>
          </c:spPr>
        </c:title>
        <c:numFmt formatCode="General" sourceLinked="true"/>
        <c:majorTickMark val="none"/>
        <c:minorTickMark val="none"/>
        <c:tickLblPos val="nextTo"/>
        <c:txPr>
          <a:bodyPr rot="-60000000" spcFirstLastPara="0" vertOverflow="ellipsis" vert="horz" wrap="square" anchor="ctr" anchorCtr="true"/>
          <a:lstStyle/>
          <a:p>
            <a:pPr>
              <a:defRPr lang="zh-CN" sz="1050" b="0" i="0" u="none" strike="noStrike" kern="1200" baseline="0">
                <a:solidFill>
                  <a:schemeClr val="tx1"/>
                </a:solidFill>
                <a:latin typeface="仿宋" panose="02010609060101010101" pitchFamily="3" charset="-122"/>
                <a:ea typeface="仿宋" panose="02010609060101010101" pitchFamily="3" charset="-122"/>
                <a:cs typeface="+mn-cs"/>
              </a:defRPr>
            </a:pPr>
          </a:p>
        </c:txPr>
        <c:crossAx val="229760000"/>
        <c:crosses val="autoZero"/>
        <c:auto val="true"/>
        <c:lblAlgn val="ctr"/>
        <c:lblOffset val="100"/>
        <c:noMultiLvlLbl val="false"/>
      </c:catAx>
      <c:valAx>
        <c:axId val="22976000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9525" cap="flat" cmpd="sng" algn="ctr">
            <a:noFill/>
            <a:prstDash val="solid"/>
            <a:round/>
          </a:ln>
          <a:effectLst/>
        </c:spPr>
        <c:txPr>
          <a:bodyPr rot="-6000000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crossAx val="229758080"/>
        <c:crosses val="autoZero"/>
        <c:crossBetween val="between"/>
      </c:valAx>
      <c:spPr>
        <a:noFill/>
        <a:ln>
          <a:noFill/>
        </a:ln>
        <a:effectLst/>
      </c:spPr>
    </c:plotArea>
    <c:legend>
      <c:legendPos val="b"/>
      <c:layout>
        <c:manualLayout>
          <c:xMode val="edge"/>
          <c:yMode val="edge"/>
          <c:x val="0.41757799505831"/>
          <c:y val="0.866318897637796"/>
          <c:w val="0.178461538461538"/>
          <c:h val="0.0759025955088947"/>
        </c:manualLayout>
      </c:layout>
      <c:overlay val="false"/>
      <c:spPr>
        <a:noFill/>
        <a:ln>
          <a:noFill/>
        </a:ln>
        <a:effectLst/>
      </c:spPr>
      <c:txPr>
        <a:bodyPr rot="0" spcFirstLastPara="1" vertOverflow="ellipsis" vert="horz" wrap="square" anchor="ctr" anchorCtr="true"/>
        <a:lstStyle/>
        <a:p>
          <a:pPr>
            <a:defRPr lang="zh-CN" sz="1050" b="0"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60" b="1" i="0" u="none" strike="noStrike" kern="1200" spc="0" normalizeH="0" baseline="0">
                <a:solidFill>
                  <a:schemeClr val="dk1">
                    <a:lumMod val="50000"/>
                    <a:lumOff val="50000"/>
                  </a:schemeClr>
                </a:solidFill>
                <a:latin typeface="仿宋" panose="02010609060101010101" pitchFamily="3" charset="-122"/>
                <a:ea typeface="仿宋" panose="02010609060101010101" pitchFamily="3" charset="-122"/>
                <a:cs typeface="+mj-cs"/>
              </a:defRPr>
            </a:pPr>
            <a:r>
              <a:rPr lang="zh-CN"/>
              <a:t>一般公共预算财政拨款支出决算结构</a:t>
            </a:r>
            <a:endParaRPr lang="en-US"/>
          </a:p>
        </c:rich>
      </c:tx>
      <c:layout/>
      <c:overlay val="false"/>
      <c:spPr>
        <a:noFill/>
        <a:ln>
          <a:noFill/>
        </a:ln>
        <a:effectLst/>
      </c:spPr>
    </c:title>
    <c:autoTitleDeleted val="false"/>
    <c:plotArea>
      <c:layout/>
      <c:pieChart>
        <c:varyColors val="true"/>
        <c:ser>
          <c:idx val="0"/>
          <c:order val="0"/>
          <c:explosion val="0"/>
          <c:dPt>
            <c:idx val="0"/>
            <c:bubble3D val="false"/>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spPr>
              <a:gradFill>
                <a:gsLst>
                  <a:gs pos="100000">
                    <a:schemeClr val="accent3">
                      <a:lumMod val="60000"/>
                      <a:lumOff val="40000"/>
                    </a:schemeClr>
                  </a:gs>
                  <a:gs pos="0">
                    <a:schemeClr val="accent3"/>
                  </a:gs>
                </a:gsLst>
                <a:lin ang="5400000" scaled="false"/>
              </a:gradFill>
              <a:ln w="19050">
                <a:solidFill>
                  <a:schemeClr val="lt1"/>
                </a:solidFill>
              </a:ln>
              <a:effectLst/>
            </c:spPr>
          </c:dPt>
          <c:dPt>
            <c:idx val="3"/>
            <c:bubble3D val="false"/>
            <c:spPr>
              <a:gradFill>
                <a:gsLst>
                  <a:gs pos="100000">
                    <a:schemeClr val="accent4">
                      <a:lumMod val="60000"/>
                      <a:lumOff val="40000"/>
                    </a:schemeClr>
                  </a:gs>
                  <a:gs pos="0">
                    <a:schemeClr val="accent4"/>
                  </a:gs>
                </a:gsLst>
                <a:lin ang="5400000" scaled="false"/>
              </a:gradFill>
              <a:ln w="19050">
                <a:solidFill>
                  <a:schemeClr val="lt1"/>
                </a:solidFill>
              </a:ln>
              <a:effectLst/>
            </c:spPr>
          </c:dPt>
          <c:dLbls>
            <c:dLbl>
              <c:idx val="3"/>
              <c:layout>
                <c:manualLayout>
                  <c:x val="0.0399914698162729"/>
                  <c:y val="0.140133785360163"/>
                </c:manualLayout>
              </c:layout>
              <c:dLblPos val="bestFit"/>
              <c:showLegendKey val="false"/>
              <c:showVal val="false"/>
              <c:showCatName val="false"/>
              <c:showSerName val="false"/>
              <c:showPercent val="true"/>
              <c:showBubbleSize val="false"/>
              <c:extLst>
                <c:ext xmlns:c15="http://schemas.microsoft.com/office/drawing/2012/chart" uri="{CE6537A1-D6FC-4f65-9D91-7224C49458BB}">
                  <c15:layout/>
                </c:ext>
              </c:extLst>
            </c:dLbl>
            <c:numFmt formatCode="0.00%" sourceLinked="false"/>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dk1">
                        <a:lumMod val="75000"/>
                        <a:lumOff val="25000"/>
                      </a:schemeClr>
                    </a:solidFill>
                    <a:latin typeface="仿宋" panose="02010609060101010101" pitchFamily="3" charset="-122"/>
                    <a:ea typeface="仿宋" panose="02010609060101010101" pitchFamily="3" charset="-122"/>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prstDash val="solid"/>
                      <a:round/>
                    </a:ln>
                    <a:effectLst/>
                  </c:spPr>
                </c15:leaderLines>
              </c:ext>
            </c:extLst>
          </c:dLbls>
          <c:cat>
            <c:strRef>
              <c:f>Sheet5!$A$1:$A$4</c:f>
              <c:strCache>
                <c:ptCount val="4"/>
                <c:pt idx="0">
                  <c:v>一般公共服务（类）支出</c:v>
                </c:pt>
                <c:pt idx="1">
                  <c:v>社会保障和就业（类）支出</c:v>
                </c:pt>
                <c:pt idx="2">
                  <c:v>卫生健康支出</c:v>
                </c:pt>
                <c:pt idx="3">
                  <c:v>住房保障支出</c:v>
                </c:pt>
              </c:strCache>
            </c:strRef>
          </c:cat>
          <c:val>
            <c:numRef>
              <c:f>Sheet5!$B$1:$B$4</c:f>
              <c:numCache>
                <c:formatCode>General</c:formatCode>
                <c:ptCount val="4"/>
                <c:pt idx="0">
                  <c:v>591.819999999999</c:v>
                </c:pt>
                <c:pt idx="1">
                  <c:v>174.15</c:v>
                </c:pt>
                <c:pt idx="2">
                  <c:v>41.97</c:v>
                </c:pt>
                <c:pt idx="3">
                  <c:v>46.64</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solidFill>
          <a:schemeClr val="lt1">
            <a:alpha val="50000"/>
          </a:schemeClr>
        </a:solidFill>
        <a:ln>
          <a:noFill/>
        </a:ln>
        <a:effectLst/>
      </c:spPr>
      <c:txPr>
        <a:bodyPr rot="0" spcFirstLastPara="1" vertOverflow="ellipsis" vert="horz" wrap="square" anchor="ctr" anchorCtr="true"/>
        <a:lstStyle/>
        <a:p>
          <a:pPr>
            <a:defRPr lang="zh-CN" sz="1050" b="0" i="0" u="none" strike="noStrike" kern="1200" baseline="0">
              <a:solidFill>
                <a:schemeClr val="dk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true"/>
          <a:lstStyle/>
          <a:p>
            <a:pPr>
              <a:defRPr lang="zh-CN" sz="1260" b="1" i="0" u="none" strike="noStrike" kern="1200" spc="0" normalizeH="0" baseline="0">
                <a:solidFill>
                  <a:schemeClr val="dk1">
                    <a:lumMod val="50000"/>
                    <a:lumOff val="50000"/>
                  </a:schemeClr>
                </a:solidFill>
                <a:latin typeface="仿宋" panose="02010609060101010101" pitchFamily="3" charset="-122"/>
                <a:ea typeface="仿宋" panose="02010609060101010101" pitchFamily="3" charset="-122"/>
                <a:cs typeface="+mj-cs"/>
              </a:defRPr>
            </a:pPr>
            <a:r>
              <a:rPr lang="zh-CN"/>
              <a:t>“三公”经费财政拨款支出结构</a:t>
            </a:r>
            <a:endParaRPr lang="en-US"/>
          </a:p>
        </c:rich>
      </c:tx>
      <c:layout/>
      <c:overlay val="false"/>
      <c:spPr>
        <a:noFill/>
        <a:ln>
          <a:noFill/>
        </a:ln>
        <a:effectLst/>
      </c:spPr>
    </c:title>
    <c:autoTitleDeleted val="false"/>
    <c:plotArea>
      <c:layout/>
      <c:pieChart>
        <c:varyColors val="true"/>
        <c:ser>
          <c:idx val="0"/>
          <c:order val="0"/>
          <c:explosion val="0"/>
          <c:dPt>
            <c:idx val="0"/>
            <c:bubble3D val="false"/>
            <c:spPr>
              <a:gradFill>
                <a:gsLst>
                  <a:gs pos="100000">
                    <a:schemeClr val="accent1">
                      <a:lumMod val="60000"/>
                      <a:lumOff val="40000"/>
                    </a:schemeClr>
                  </a:gs>
                  <a:gs pos="0">
                    <a:schemeClr val="accent1"/>
                  </a:gs>
                </a:gsLst>
                <a:lin ang="5400000" scaled="false"/>
              </a:gradFill>
              <a:ln w="19050">
                <a:solidFill>
                  <a:schemeClr val="lt1"/>
                </a:solidFill>
              </a:ln>
              <a:effectLst/>
            </c:spPr>
          </c:dPt>
          <c:dPt>
            <c:idx val="1"/>
            <c:bubble3D val="false"/>
            <c:spPr>
              <a:gradFill>
                <a:gsLst>
                  <a:gs pos="100000">
                    <a:schemeClr val="accent2">
                      <a:lumMod val="60000"/>
                      <a:lumOff val="40000"/>
                    </a:schemeClr>
                  </a:gs>
                  <a:gs pos="0">
                    <a:schemeClr val="accent2"/>
                  </a:gs>
                </a:gsLst>
                <a:lin ang="5400000" scaled="false"/>
              </a:gradFill>
              <a:ln w="19050">
                <a:solidFill>
                  <a:schemeClr val="lt1"/>
                </a:solidFill>
              </a:ln>
              <a:effectLst/>
            </c:spPr>
          </c:dPt>
          <c:dPt>
            <c:idx val="2"/>
            <c:bubble3D val="false"/>
            <c:spPr>
              <a:gradFill>
                <a:gsLst>
                  <a:gs pos="100000">
                    <a:schemeClr val="accent3">
                      <a:lumMod val="60000"/>
                      <a:lumOff val="40000"/>
                    </a:schemeClr>
                  </a:gs>
                  <a:gs pos="0">
                    <a:schemeClr val="accent3"/>
                  </a:gs>
                </a:gsLst>
                <a:lin ang="5400000" scaled="false"/>
              </a:gradFill>
              <a:ln w="19050">
                <a:solidFill>
                  <a:schemeClr val="lt1"/>
                </a:solidFill>
              </a:ln>
              <a:effectLst/>
            </c:spPr>
          </c:dPt>
          <c:dLbls>
            <c:numFmt formatCode="0.00%" sourceLinked="false"/>
            <c:spPr>
              <a:noFill/>
              <a:ln>
                <a:noFill/>
              </a:ln>
              <a:effectLst/>
            </c:spPr>
            <c:txPr>
              <a:bodyPr rot="0" spcFirstLastPara="1" vertOverflow="ellipsis" vert="horz" wrap="square" lIns="38100" tIns="19050" rIns="38100" bIns="19050" anchor="ctr" anchorCtr="true"/>
              <a:lstStyle/>
              <a:p>
                <a:pPr>
                  <a:defRPr lang="zh-CN" sz="1050" b="0" i="0" u="none" strike="noStrike" kern="1200" baseline="0">
                    <a:solidFill>
                      <a:schemeClr val="dk1">
                        <a:lumMod val="75000"/>
                        <a:lumOff val="25000"/>
                      </a:schemeClr>
                    </a:solidFill>
                    <a:latin typeface="仿宋" panose="02010609060101010101" pitchFamily="3" charset="-122"/>
                    <a:ea typeface="仿宋" panose="02010609060101010101" pitchFamily="3" charset="-122"/>
                    <a:cs typeface="+mn-cs"/>
                  </a:defRPr>
                </a:pPr>
              </a:p>
            </c:txPr>
            <c:dLblPos val="bestFit"/>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cap="flat" cmpd="sng" algn="ctr">
                      <a:solidFill>
                        <a:schemeClr val="dk1">
                          <a:lumMod val="35000"/>
                          <a:lumOff val="65000"/>
                        </a:schemeClr>
                      </a:solidFill>
                      <a:prstDash val="solid"/>
                      <a:round/>
                    </a:ln>
                    <a:effectLst/>
                  </c:spPr>
                </c15:leaderLines>
              </c:ext>
            </c:extLst>
          </c:dLbls>
          <c:cat>
            <c:strRef>
              <c:f>Sheet6!$A$1:$A$3</c:f>
              <c:strCache>
                <c:ptCount val="3"/>
                <c:pt idx="0">
                  <c:v>因公出国（境）费支出</c:v>
                </c:pt>
                <c:pt idx="1">
                  <c:v>公务用车购置及运行维护费支出</c:v>
                </c:pt>
                <c:pt idx="2">
                  <c:v>公务接待费支出</c:v>
                </c:pt>
              </c:strCache>
            </c:strRef>
          </c:cat>
          <c:val>
            <c:numRef>
              <c:f>Sheet6!$B$1:$B$3</c:f>
              <c:numCache>
                <c:formatCode>General</c:formatCode>
                <c:ptCount val="3"/>
                <c:pt idx="0">
                  <c:v>0</c:v>
                </c:pt>
                <c:pt idx="1">
                  <c:v>15.11</c:v>
                </c:pt>
                <c:pt idx="2">
                  <c:v>32.89</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solidFill>
          <a:schemeClr val="lt1">
            <a:alpha val="50000"/>
          </a:schemeClr>
        </a:solidFill>
        <a:ln>
          <a:noFill/>
        </a:ln>
        <a:effectLst/>
      </c:spPr>
      <c:txPr>
        <a:bodyPr rot="0" spcFirstLastPara="1" vertOverflow="ellipsis" vert="horz" wrap="square" anchor="ctr" anchorCtr="true"/>
        <a:lstStyle/>
        <a:p>
          <a:pPr>
            <a:defRPr lang="zh-CN" sz="1050" b="0" i="0" u="none" strike="noStrike" kern="1200" baseline="0">
              <a:solidFill>
                <a:schemeClr val="dk1">
                  <a:lumMod val="65000"/>
                  <a:lumOff val="35000"/>
                </a:schemeClr>
              </a:solidFill>
              <a:latin typeface="仿宋" panose="02010609060101010101" pitchFamily="3" charset="-122"/>
              <a:ea typeface="仿宋" panose="02010609060101010101" pitchFamily="3" charset="-122"/>
              <a:cs typeface="+mn-cs"/>
            </a:defRPr>
          </a:pPr>
        </a:p>
      </c:txPr>
    </c:legend>
    <c:plotVisOnly val="true"/>
    <c:dispBlanksAs val="zero"/>
    <c:showDLblsOverMax val="false"/>
  </c:chart>
  <c:spPr>
    <a:pattFill prst="dkDnDiag">
      <a:fgClr>
        <a:schemeClr val="lt1"/>
      </a:fgClr>
      <a:bgClr>
        <a:schemeClr val="dk1">
          <a:lumMod val="10000"/>
          <a:lumOff val="90000"/>
        </a:schemeClr>
      </a:bgClr>
    </a:pattFill>
    <a:ln w="9525" cap="flat" cmpd="sng" algn="ctr">
      <a:solidFill>
        <a:schemeClr val="dk1">
          <a:lumMod val="15000"/>
          <a:lumOff val="85000"/>
        </a:schemeClr>
      </a:solidFill>
      <a:prstDash val="solid"/>
      <a:round/>
    </a:ln>
    <a:effectLst/>
  </c:spPr>
  <c:txPr>
    <a:bodyPr/>
    <a:lstStyle/>
    <a:p>
      <a:pPr>
        <a:defRPr lang="zh-CN" sz="1050">
          <a:latin typeface="仿宋" panose="02010609060101010101" pitchFamily="3" charset="-122"/>
          <a:ea typeface="仿宋" panose="02010609060101010101" pitchFamily="3" charset="-122"/>
        </a:defRPr>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1245</Words>
  <Characters>7101</Characters>
  <Lines>59</Lines>
  <Paragraphs>16</Paragraphs>
  <TotalTime>2</TotalTime>
  <ScaleCrop>false</ScaleCrop>
  <LinksUpToDate>false</LinksUpToDate>
  <CharactersWithSpaces>8330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2021-09-06T09:47:00Z</dcterms:created>
  <dc:creator>曹颖</dc:creator>
  <cp:lastModifiedBy>user</cp:lastModifiedBy>
  <cp:lastPrinted>2021-08-18T10:56:00Z</cp:lastPrinted>
  <dcterms:modified xsi:type="dcterms:W3CDTF">2022-11-11T16:42:54Z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CF519F527A67485CA0AA1A410F05250D</vt:lpwstr>
  </property>
</Properties>
</file>