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rPr>
          <w:rFonts w:ascii="方正小标宋简体" w:hAnsi="宋体" w:eastAsia="方正小标宋简体"/>
          <w:sz w:val="72"/>
          <w:szCs w:val="72"/>
        </w:rPr>
      </w:pPr>
    </w:p>
    <w:p>
      <w:pPr>
        <w:jc w:val="center"/>
        <w:rPr>
          <w:rFonts w:ascii="方正小标宋简体" w:hAnsi="方正小标宋简体" w:eastAsia="方正小标宋简体" w:cs="方正小标宋简体"/>
          <w:sz w:val="72"/>
          <w:szCs w:val="72"/>
        </w:rPr>
      </w:pPr>
      <w:bookmarkStart w:id="1" w:name="_Toc15377425"/>
      <w:bookmarkStart w:id="2" w:name="_Toc15396475"/>
      <w:bookmarkStart w:id="3" w:name="_Toc15377193"/>
      <w:bookmarkStart w:id="4" w:name="_Toc15396597"/>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jc w:val="center"/>
        <w:rPr>
          <w:rFonts w:ascii="方正小标宋简体" w:hAnsi="方正小标宋简体" w:eastAsia="方正小标宋简体" w:cs="方正小标宋简体"/>
          <w:sz w:val="72"/>
          <w:szCs w:val="72"/>
        </w:rPr>
      </w:pPr>
      <w:bookmarkStart w:id="6" w:name="_Toc15377426"/>
      <w:bookmarkStart w:id="7" w:name="_Toc15396598"/>
      <w:bookmarkStart w:id="8" w:name="_Toc15396476"/>
      <w:bookmarkStart w:id="9" w:name="_Toc15377194"/>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人民政府驻上海办事处单位决算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rPr>
          <w:rFonts w:ascii="Times New Roman" w:hAnsi="Times New Roman" w:eastAsia="仿宋_GB2312"/>
        </w:rPr>
      </w:pPr>
      <w:r>
        <w:rPr>
          <w:rFonts w:ascii="Times New Roman" w:hAnsi="Times New Roman" w:eastAsia="仿宋_GB2312"/>
        </w:rPr>
        <w:t>公开时间：2022年9月9日</w:t>
      </w:r>
    </w:p>
    <w:sdt>
      <w:sdtPr>
        <w:rPr>
          <w:rFonts w:ascii="Times New Roman" w:hAnsi="Times New Roman" w:eastAsia="宋体"/>
          <w:sz w:val="21"/>
          <w:szCs w:val="24"/>
        </w:rPr>
        <w:id w:val="1059903695"/>
        <w:docPartObj>
          <w:docPartGallery w:val="Table of Contents"/>
          <w:docPartUnique/>
        </w:docPartObj>
      </w:sdtPr>
      <w:sdtEndPr>
        <w:rPr>
          <w:rFonts w:ascii="Times New Roman" w:hAnsi="Times New Roman" w:eastAsia="宋体"/>
          <w:b/>
          <w:bCs/>
          <w:sz w:val="21"/>
          <w:szCs w:val="24"/>
        </w:rPr>
      </w:sdtEndPr>
      <w:sdtContent>
        <w:p>
          <w:pPr>
            <w:pStyle w:val="10"/>
            <w:adjustRightInd w:val="0"/>
            <w:snapToGrid w:val="0"/>
            <w:spacing w:before="0" w:line="288" w:lineRule="auto"/>
            <w:rPr>
              <w:rFonts w:cstheme="minorBidi"/>
              <w:sz w:val="21"/>
              <w:szCs w:val="22"/>
            </w:rPr>
          </w:pPr>
          <w:r>
            <w:fldChar w:fldCharType="begin"/>
          </w:r>
          <w:r>
            <w:instrText xml:space="preserve"> TOC \o "1-3" \h \z \u </w:instrText>
          </w:r>
          <w:r>
            <w:fldChar w:fldCharType="separate"/>
          </w:r>
          <w:r>
            <w:fldChar w:fldCharType="begin"/>
          </w:r>
          <w:r>
            <w:instrText xml:space="preserve"> HYPERLINK \l "_Toc113284420" </w:instrText>
          </w:r>
          <w:r>
            <w:fldChar w:fldCharType="separate"/>
          </w:r>
          <w:r>
            <w:rPr>
              <w:rStyle w:val="15"/>
            </w:rPr>
            <w:t>第一部分 单位概况</w:t>
          </w:r>
          <w:r>
            <w:tab/>
          </w:r>
          <w:r>
            <w:rPr>
              <w:sz w:val="21"/>
              <w:szCs w:val="21"/>
            </w:rPr>
            <w:fldChar w:fldCharType="begin"/>
          </w:r>
          <w:r>
            <w:rPr>
              <w:sz w:val="21"/>
              <w:szCs w:val="21"/>
            </w:rPr>
            <w:instrText xml:space="preserve"> PAGEREF _Toc113284420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"_Toc113284421" </w:instrText>
          </w:r>
          <w:r>
            <w:fldChar w:fldCharType="separate"/>
          </w:r>
          <w:r>
            <w:rPr>
              <w:rStyle w:val="15"/>
              <w:rFonts w:ascii="仿宋" w:hAnsi="仿宋" w:eastAsia="仿宋"/>
            </w:rPr>
            <w:t>一、职能简介</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_Toc113284421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11"/>
            <w:adjustRightInd w:val="0"/>
            <w:snapToGrid w:val="0"/>
            <w:spacing w:line="288" w:lineRule="auto"/>
            <w:rPr>
              <w:rFonts w:ascii="仿宋" w:hAnsi="仿宋" w:eastAsia="仿宋"/>
            </w:rPr>
          </w:pPr>
          <w:r>
            <w:fldChar w:fldCharType="begin"/>
          </w:r>
          <w:r>
            <w:instrText xml:space="preserve"> HYPERLINK \l "_Toc113284422" </w:instrText>
          </w:r>
          <w:r>
            <w:fldChar w:fldCharType="separate"/>
          </w:r>
          <w:r>
            <w:rPr>
              <w:rStyle w:val="15"/>
              <w:rFonts w:ascii="仿宋" w:hAnsi="仿宋" w:eastAsia="仿宋"/>
            </w:rPr>
            <w:t>二、2021年重点工作完成情况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_Toc113284422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rPr>
              <w:rFonts w:hint="default" w:eastAsia="仿宋"/>
              <w:lang w:val="en" w:eastAsia="zh-CN"/>
            </w:rPr>
          </w:pPr>
          <w:r>
            <w:rPr>
              <w:rFonts w:hint="eastAsia" w:eastAsia="仿宋"/>
              <w:lang w:val="en-US" w:eastAsia="zh-CN"/>
            </w:rPr>
            <w:t xml:space="preserve">    三、机构设置情况</w:t>
          </w:r>
          <w:r>
            <w:rPr>
              <w:rFonts w:hint="default" w:eastAsia="仿宋"/>
              <w:lang w:val="en" w:eastAsia="zh-CN"/>
            </w:rPr>
            <w:t>....................................................................................................................7</w:t>
          </w:r>
        </w:p>
        <w:p>
          <w:pPr>
            <w:pStyle w:val="10"/>
            <w:adjustRightInd w:val="0"/>
            <w:snapToGrid w:val="0"/>
            <w:spacing w:before="0" w:line="288" w:lineRule="auto"/>
            <w:rPr>
              <w:rFonts w:cstheme="minorBidi"/>
              <w:sz w:val="21"/>
              <w:szCs w:val="22"/>
            </w:rPr>
          </w:pPr>
          <w:r>
            <w:fldChar w:fldCharType="begin"/>
          </w:r>
          <w:r>
            <w:instrText xml:space="preserve"> HYPERLINK \l "_Toc113284423" </w:instrText>
          </w:r>
          <w:r>
            <w:fldChar w:fldCharType="separate"/>
          </w:r>
          <w:r>
            <w:rPr>
              <w:rStyle w:val="15"/>
            </w:rPr>
            <w:t>第二部分 2021年度单位决算情况说明</w:t>
          </w:r>
          <w:r>
            <w:tab/>
          </w:r>
          <w:r>
            <w:rPr>
              <w:rFonts w:hint="default"/>
              <w:sz w:val="21"/>
              <w:szCs w:val="21"/>
              <w:lang w:val="en"/>
            </w:rPr>
            <w:t>8</w:t>
          </w:r>
          <w:r>
            <w:rPr>
              <w:sz w:val="21"/>
              <w:szCs w:val="21"/>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"_Toc113284424" </w:instrText>
          </w:r>
          <w:r>
            <w:fldChar w:fldCharType="separate"/>
          </w:r>
          <w:r>
            <w:rPr>
              <w:rStyle w:val="15"/>
              <w:rFonts w:ascii="仿宋" w:hAnsi="仿宋" w:eastAsia="仿宋" w:cstheme="majorBidi"/>
              <w:bCs/>
            </w:rPr>
            <w:t>一、</w:t>
          </w:r>
          <w:r>
            <w:rPr>
              <w:rStyle w:val="15"/>
              <w:rFonts w:ascii="仿宋" w:hAnsi="仿宋" w:eastAsia="仿宋"/>
            </w:rPr>
            <w:t>收</w:t>
          </w:r>
          <w:r>
            <w:rPr>
              <w:rStyle w:val="15"/>
              <w:rFonts w:ascii="仿宋" w:hAnsi="仿宋" w:eastAsia="仿宋" w:cstheme="majorBidi"/>
              <w:bCs/>
            </w:rPr>
            <w:t>入支出决算总体情况说明</w:t>
          </w:r>
          <w:r>
            <w:rPr>
              <w:rFonts w:ascii="仿宋" w:hAnsi="仿宋" w:eastAsia="仿宋"/>
            </w:rPr>
            <w:tab/>
          </w:r>
          <w:r>
            <w:rPr>
              <w:rFonts w:hint="default" w:ascii="仿宋" w:hAnsi="仿宋" w:eastAsia="仿宋"/>
              <w:lang w:val="en"/>
            </w:rPr>
            <w:t>8</w:t>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"_Toc113284425" </w:instrText>
          </w:r>
          <w:r>
            <w:fldChar w:fldCharType="separate"/>
          </w:r>
          <w:r>
            <w:rPr>
              <w:rStyle w:val="15"/>
              <w:rFonts w:ascii="仿宋" w:hAnsi="仿宋" w:eastAsia="仿宋" w:cstheme="majorBidi"/>
              <w:bCs/>
            </w:rPr>
            <w:t>二、</w:t>
          </w:r>
          <w:r>
            <w:rPr>
              <w:rStyle w:val="15"/>
              <w:rFonts w:ascii="仿宋" w:hAnsi="仿宋" w:eastAsia="仿宋"/>
            </w:rPr>
            <w:t>收</w:t>
          </w:r>
          <w:r>
            <w:rPr>
              <w:rStyle w:val="15"/>
              <w:rFonts w:ascii="仿宋" w:hAnsi="仿宋" w:eastAsia="仿宋" w:cstheme="majorBidi"/>
              <w:bCs/>
            </w:rPr>
            <w:t>入决算情况说明</w:t>
          </w:r>
          <w:r>
            <w:rPr>
              <w:rFonts w:ascii="仿宋" w:hAnsi="仿宋" w:eastAsia="仿宋"/>
            </w:rPr>
            <w:tab/>
          </w:r>
          <w:r>
            <w:rPr>
              <w:rFonts w:hint="default" w:ascii="仿宋" w:hAnsi="仿宋" w:eastAsia="仿宋"/>
              <w:lang w:val="en"/>
            </w:rPr>
            <w:t>8</w:t>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"_Toc113284426" </w:instrText>
          </w:r>
          <w:r>
            <w:fldChar w:fldCharType="separate"/>
          </w:r>
          <w:r>
            <w:rPr>
              <w:rStyle w:val="15"/>
              <w:rFonts w:ascii="仿宋" w:hAnsi="仿宋" w:eastAsia="仿宋" w:cstheme="majorBidi"/>
              <w:bCs/>
            </w:rPr>
            <w:t>三、</w:t>
          </w:r>
          <w:r>
            <w:rPr>
              <w:rStyle w:val="15"/>
              <w:rFonts w:ascii="仿宋" w:hAnsi="仿宋" w:eastAsia="仿宋"/>
            </w:rPr>
            <w:t>支</w:t>
          </w:r>
          <w:r>
            <w:rPr>
              <w:rStyle w:val="15"/>
              <w:rFonts w:ascii="仿宋" w:hAnsi="仿宋" w:eastAsia="仿宋" w:cstheme="majorBidi"/>
              <w:bCs/>
            </w:rPr>
            <w:t>出决算情况说明</w:t>
          </w:r>
          <w:r>
            <w:rPr>
              <w:rFonts w:ascii="仿宋" w:hAnsi="仿宋" w:eastAsia="仿宋"/>
            </w:rPr>
            <w:tab/>
          </w:r>
          <w:r>
            <w:rPr>
              <w:rFonts w:hint="default" w:ascii="仿宋" w:hAnsi="仿宋" w:eastAsia="仿宋"/>
              <w:lang w:val="en"/>
            </w:rPr>
            <w:t>9</w:t>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"_Toc113284427" </w:instrText>
          </w:r>
          <w:r>
            <w:fldChar w:fldCharType="separate"/>
          </w:r>
          <w:r>
            <w:rPr>
              <w:rStyle w:val="15"/>
              <w:rFonts w:ascii="仿宋" w:hAnsi="仿宋" w:eastAsia="仿宋"/>
            </w:rPr>
            <w:t>四、财</w:t>
          </w:r>
          <w:r>
            <w:rPr>
              <w:rStyle w:val="15"/>
              <w:rFonts w:ascii="仿宋" w:hAnsi="仿宋" w:eastAsia="仿宋" w:cstheme="majorBidi"/>
              <w:bCs/>
            </w:rPr>
            <w:t>政拨款收入支出决算总体情况说明</w:t>
          </w:r>
          <w:r>
            <w:rPr>
              <w:rFonts w:ascii="仿宋" w:hAnsi="仿宋" w:eastAsia="仿宋"/>
            </w:rPr>
            <w:tab/>
          </w:r>
          <w:r>
            <w:rPr>
              <w:rFonts w:hint="default" w:ascii="仿宋" w:hAnsi="仿宋" w:eastAsia="仿宋"/>
              <w:lang w:val="en"/>
            </w:rPr>
            <w:t>9</w:t>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"_Toc113284428" </w:instrText>
          </w:r>
          <w:r>
            <w:fldChar w:fldCharType="separate"/>
          </w:r>
          <w:r>
            <w:rPr>
              <w:rStyle w:val="15"/>
              <w:rFonts w:ascii="仿宋" w:hAnsi="仿宋" w:eastAsia="仿宋"/>
            </w:rPr>
            <w:t>五、</w:t>
          </w:r>
          <w:r>
            <w:rPr>
              <w:rStyle w:val="15"/>
              <w:rFonts w:ascii="仿宋" w:hAnsi="仿宋" w:eastAsia="仿宋"/>
              <w:b/>
            </w:rPr>
            <w:t>一</w:t>
          </w:r>
          <w:r>
            <w:rPr>
              <w:rStyle w:val="15"/>
              <w:rFonts w:ascii="仿宋" w:hAnsi="仿宋" w:eastAsia="仿宋" w:cstheme="majorBidi"/>
              <w:bCs/>
            </w:rPr>
            <w:t>般公共预算财政拨款支出决算情况说明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_Toc113284431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"_Toc113284429" </w:instrText>
          </w:r>
          <w:r>
            <w:fldChar w:fldCharType="separate"/>
          </w:r>
          <w:r>
            <w:rPr>
              <w:rStyle w:val="15"/>
              <w:rFonts w:ascii="仿宋" w:hAnsi="仿宋" w:eastAsia="仿宋" w:cs="楷体"/>
              <w:bCs/>
            </w:rPr>
            <w:t>（一）一般公共预算财政拨款支出决算总体情况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_Toc113284431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"_Toc113284430" </w:instrText>
          </w:r>
          <w:r>
            <w:fldChar w:fldCharType="separate"/>
          </w:r>
          <w:r>
            <w:rPr>
              <w:rStyle w:val="15"/>
              <w:rFonts w:ascii="仿宋" w:hAnsi="仿宋" w:eastAsia="仿宋" w:cs="楷体"/>
              <w:bCs/>
            </w:rPr>
            <w:t>（二）一般公共预算财政拨款支出决算结构情况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_Toc113284431 \h </w:instrText>
          </w:r>
          <w:r>
            <w:rPr>
              <w:rFonts w:ascii="仿宋" w:hAnsi="仿宋" w:eastAsia="仿宋"/>
            </w:rPr>
            <w:fldChar w:fldCharType="separate"/>
          </w:r>
          <w:r>
            <w:rPr>
              <w:rFonts w:ascii="仿宋" w:hAnsi="仿宋" w:eastAsia="仿宋"/>
            </w:rPr>
            <w:t>10</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"_Toc113284431" </w:instrText>
          </w:r>
          <w:r>
            <w:fldChar w:fldCharType="separate"/>
          </w:r>
          <w:r>
            <w:rPr>
              <w:rStyle w:val="15"/>
              <w:rFonts w:ascii="仿宋" w:hAnsi="仿宋" w:eastAsia="仿宋" w:cs="楷体"/>
              <w:bCs/>
            </w:rPr>
            <w:t>（三）一般公共预算财政拨款支出决算具体情况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_Toc113284431 \h </w:instrText>
          </w:r>
          <w:r>
            <w:rPr>
              <w:rFonts w:ascii="仿宋" w:hAnsi="仿宋" w:eastAsia="仿宋"/>
            </w:rPr>
            <w:fldChar w:fldCharType="separate"/>
          </w:r>
          <w:r>
            <w:rPr>
              <w:rFonts w:ascii="仿宋" w:hAnsi="仿宋" w:eastAsia="仿宋"/>
            </w:rPr>
            <w:t>1</w:t>
          </w:r>
          <w:r>
            <w:rPr>
              <w:rFonts w:hint="default" w:ascii="仿宋" w:hAnsi="仿宋" w:eastAsia="仿宋"/>
              <w:lang w:val="en"/>
            </w:rPr>
            <w:t>1</w:t>
          </w:r>
          <w:r>
            <w:rPr>
              <w:rFonts w:ascii="仿宋" w:hAnsi="仿宋" w:eastAsia="仿宋"/>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"_Toc113284432" </w:instrText>
          </w:r>
          <w:r>
            <w:fldChar w:fldCharType="separate"/>
          </w:r>
          <w:r>
            <w:rPr>
              <w:rStyle w:val="15"/>
              <w:rFonts w:ascii="仿宋" w:hAnsi="仿宋" w:eastAsia="仿宋"/>
            </w:rPr>
            <w:t>六</w:t>
          </w:r>
          <w:r>
            <w:rPr>
              <w:rStyle w:val="15"/>
              <w:rFonts w:ascii="仿宋" w:hAnsi="仿宋" w:eastAsia="仿宋"/>
              <w:b/>
            </w:rPr>
            <w:t>、一</w:t>
          </w:r>
          <w:r>
            <w:rPr>
              <w:rStyle w:val="15"/>
              <w:rFonts w:ascii="仿宋" w:hAnsi="仿宋" w:eastAsia="仿宋" w:cstheme="majorBidi"/>
              <w:bCs/>
            </w:rPr>
            <w:t>般公共预算财政拨款基本支出决算情况说明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_Toc113284432 \h </w:instrText>
          </w:r>
          <w:r>
            <w:rPr>
              <w:rFonts w:ascii="仿宋" w:hAnsi="仿宋" w:eastAsia="仿宋"/>
            </w:rPr>
            <w:fldChar w:fldCharType="separate"/>
          </w:r>
          <w:r>
            <w:rPr>
              <w:rFonts w:ascii="仿宋" w:hAnsi="仿宋" w:eastAsia="仿宋"/>
            </w:rPr>
            <w:t>1</w:t>
          </w:r>
          <w:r>
            <w:rPr>
              <w:rFonts w:hint="default" w:ascii="仿宋" w:hAnsi="仿宋" w:eastAsia="仿宋"/>
              <w:lang w:val="en"/>
            </w:rPr>
            <w:t>2</w:t>
          </w:r>
          <w:r>
            <w:rPr>
              <w:rFonts w:ascii="仿宋" w:hAnsi="仿宋" w:eastAsia="仿宋"/>
            </w:rPr>
            <w:fldChar w:fldCharType="end"/>
          </w:r>
          <w:r>
            <w:rPr>
              <w:rFonts w:ascii="仿宋" w:hAnsi="仿宋" w:eastAsia="仿宋"/>
            </w:rPr>
            <w:fldChar w:fldCharType="end"/>
          </w:r>
        </w:p>
        <w:p>
          <w:pPr>
            <w:pStyle w:val="11"/>
            <w:adjustRightInd w:val="0"/>
            <w:snapToGrid w:val="0"/>
            <w:spacing w:line="288" w:lineRule="auto"/>
            <w:rPr>
              <w:rFonts w:hint="default" w:ascii="仿宋" w:hAnsi="仿宋" w:eastAsia="仿宋" w:cstheme="minorBidi"/>
              <w:szCs w:val="22"/>
              <w:lang w:val="en"/>
            </w:rPr>
          </w:pPr>
          <w:r>
            <w:fldChar w:fldCharType="begin"/>
          </w:r>
          <w:r>
            <w:instrText xml:space="preserve"> HYPERLINK \l "_Toc113284433" </w:instrText>
          </w:r>
          <w:r>
            <w:fldChar w:fldCharType="separate"/>
          </w:r>
          <w:r>
            <w:rPr>
              <w:rStyle w:val="15"/>
              <w:rFonts w:ascii="仿宋" w:hAnsi="仿宋" w:eastAsia="仿宋"/>
            </w:rPr>
            <w:t>七、</w:t>
          </w:r>
          <w:r>
            <w:rPr>
              <w:rStyle w:val="15"/>
              <w:rFonts w:ascii="仿宋" w:hAnsi="仿宋" w:eastAsia="仿宋" w:cstheme="majorBidi"/>
              <w:bCs/>
            </w:rPr>
            <w:t>“三公”经费财政拨款支出决算情况说明</w:t>
          </w:r>
          <w:r>
            <w:rPr>
              <w:rFonts w:ascii="仿宋" w:hAnsi="仿宋" w:eastAsia="仿宋"/>
            </w:rPr>
            <w:tab/>
          </w:r>
          <w:r>
            <w:rPr>
              <w:rFonts w:hint="default" w:ascii="仿宋" w:hAnsi="仿宋" w:eastAsia="仿宋"/>
              <w:lang w:val="en"/>
            </w:rPr>
            <w:t>1</w:t>
          </w:r>
          <w:r>
            <w:rPr>
              <w:rFonts w:ascii="仿宋" w:hAnsi="仿宋" w:eastAsia="仿宋"/>
            </w:rPr>
            <w:fldChar w:fldCharType="end"/>
          </w:r>
          <w:r>
            <w:rPr>
              <w:rFonts w:hint="default" w:ascii="仿宋" w:hAnsi="仿宋" w:eastAsia="仿宋"/>
              <w:lang w:val="en"/>
            </w:rPr>
            <w:t>3</w:t>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"_Toc113284434" </w:instrText>
          </w:r>
          <w:r>
            <w:fldChar w:fldCharType="separate"/>
          </w:r>
          <w:r>
            <w:rPr>
              <w:rStyle w:val="15"/>
              <w:rFonts w:ascii="仿宋" w:hAnsi="仿宋" w:eastAsia="仿宋" w:cs="楷体"/>
              <w:bCs/>
            </w:rPr>
            <w:t>（一）“三公”经费财政拨款支出决算总体情况说明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_Toc113284434 \h </w:instrText>
          </w:r>
          <w:r>
            <w:rPr>
              <w:rFonts w:ascii="仿宋" w:hAnsi="仿宋" w:eastAsia="仿宋"/>
            </w:rPr>
            <w:fldChar w:fldCharType="separate"/>
          </w:r>
          <w:r>
            <w:rPr>
              <w:rFonts w:ascii="仿宋" w:hAnsi="仿宋" w:eastAsia="仿宋"/>
            </w:rPr>
            <w:t>1</w:t>
          </w:r>
          <w:r>
            <w:rPr>
              <w:rFonts w:hint="default" w:ascii="仿宋" w:hAnsi="仿宋" w:eastAsia="仿宋"/>
              <w:lang w:val="en"/>
            </w:rPr>
            <w:t>3</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"_Toc113284435" </w:instrText>
          </w:r>
          <w:r>
            <w:fldChar w:fldCharType="separate"/>
          </w:r>
          <w:r>
            <w:rPr>
              <w:rStyle w:val="15"/>
              <w:rFonts w:ascii="仿宋" w:hAnsi="仿宋" w:eastAsia="仿宋" w:cs="楷体"/>
              <w:bCs/>
            </w:rPr>
            <w:t>（二）“三公”经费财政拨款支出决算具体情况说明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_Toc113284435 \h </w:instrText>
          </w:r>
          <w:r>
            <w:rPr>
              <w:rFonts w:ascii="仿宋" w:hAnsi="仿宋" w:eastAsia="仿宋"/>
            </w:rPr>
            <w:fldChar w:fldCharType="separate"/>
          </w:r>
          <w:r>
            <w:rPr>
              <w:rFonts w:ascii="仿宋" w:hAnsi="仿宋" w:eastAsia="仿宋"/>
            </w:rPr>
            <w:t>1</w:t>
          </w:r>
          <w:r>
            <w:rPr>
              <w:rFonts w:hint="default" w:ascii="仿宋" w:hAnsi="仿宋" w:eastAsia="仿宋"/>
              <w:lang w:val="en"/>
            </w:rPr>
            <w:t>3</w:t>
          </w:r>
          <w:r>
            <w:rPr>
              <w:rFonts w:ascii="仿宋" w:hAnsi="仿宋" w:eastAsia="仿宋"/>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"_Toc113284436" </w:instrText>
          </w:r>
          <w:r>
            <w:fldChar w:fldCharType="separate"/>
          </w:r>
          <w:r>
            <w:rPr>
              <w:rStyle w:val="15"/>
              <w:rFonts w:ascii="仿宋" w:hAnsi="仿宋" w:eastAsia="仿宋" w:cs="黑体"/>
            </w:rPr>
            <w:t>八、</w:t>
          </w:r>
          <w:r>
            <w:rPr>
              <w:rStyle w:val="15"/>
              <w:rFonts w:ascii="仿宋" w:hAnsi="仿宋" w:eastAsia="仿宋" w:cs="黑体"/>
              <w:bCs/>
            </w:rPr>
            <w:t>政府性基金预算支出决算情况说明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_Toc113284436 \h </w:instrText>
          </w:r>
          <w:r>
            <w:rPr>
              <w:rFonts w:ascii="仿宋" w:hAnsi="仿宋" w:eastAsia="仿宋"/>
            </w:rPr>
            <w:fldChar w:fldCharType="separate"/>
          </w:r>
          <w:r>
            <w:rPr>
              <w:rFonts w:ascii="仿宋" w:hAnsi="仿宋" w:eastAsia="仿宋"/>
            </w:rPr>
            <w:t>1</w:t>
          </w:r>
          <w:r>
            <w:rPr>
              <w:rFonts w:hint="default" w:ascii="仿宋" w:hAnsi="仿宋" w:eastAsia="仿宋"/>
              <w:lang w:val="en"/>
            </w:rPr>
            <w:t>5</w:t>
          </w:r>
          <w:r>
            <w:rPr>
              <w:rFonts w:ascii="仿宋" w:hAnsi="仿宋" w:eastAsia="仿宋"/>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"_Toc113284437" </w:instrText>
          </w:r>
          <w:r>
            <w:fldChar w:fldCharType="separate"/>
          </w:r>
          <w:r>
            <w:rPr>
              <w:rStyle w:val="15"/>
              <w:rFonts w:ascii="仿宋" w:hAnsi="仿宋" w:eastAsia="仿宋" w:cs="黑体"/>
            </w:rPr>
            <w:t>九、国有资本经营预算支出决算情况说明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_Toc113284437 \h </w:instrText>
          </w:r>
          <w:r>
            <w:rPr>
              <w:rFonts w:ascii="仿宋" w:hAnsi="仿宋" w:eastAsia="仿宋"/>
            </w:rPr>
            <w:fldChar w:fldCharType="separate"/>
          </w:r>
          <w:r>
            <w:rPr>
              <w:rFonts w:ascii="仿宋" w:hAnsi="仿宋" w:eastAsia="仿宋"/>
            </w:rPr>
            <w:t>1</w:t>
          </w:r>
          <w:r>
            <w:rPr>
              <w:rFonts w:hint="default" w:ascii="仿宋" w:hAnsi="仿宋" w:eastAsia="仿宋"/>
              <w:lang w:val="en"/>
            </w:rPr>
            <w:t>5</w:t>
          </w:r>
          <w:r>
            <w:rPr>
              <w:rFonts w:ascii="仿宋" w:hAnsi="仿宋" w:eastAsia="仿宋"/>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"_Toc113284438" </w:instrText>
          </w:r>
          <w:r>
            <w:fldChar w:fldCharType="separate"/>
          </w:r>
          <w:r>
            <w:rPr>
              <w:rStyle w:val="15"/>
              <w:rFonts w:ascii="仿宋" w:hAnsi="仿宋" w:eastAsia="仿宋" w:cs="黑体"/>
            </w:rPr>
            <w:t>十、其他重要事项的情况说明</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_Toc113284438 \h </w:instrText>
          </w:r>
          <w:r>
            <w:rPr>
              <w:rFonts w:ascii="仿宋" w:hAnsi="仿宋" w:eastAsia="仿宋"/>
            </w:rPr>
            <w:fldChar w:fldCharType="separate"/>
          </w:r>
          <w:r>
            <w:rPr>
              <w:rFonts w:ascii="仿宋" w:hAnsi="仿宋" w:eastAsia="仿宋"/>
            </w:rPr>
            <w:t>1</w:t>
          </w:r>
          <w:r>
            <w:rPr>
              <w:rFonts w:hint="default" w:ascii="仿宋" w:hAnsi="仿宋" w:eastAsia="仿宋"/>
              <w:lang w:val="en"/>
            </w:rPr>
            <w:t>5</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"_Toc113284439" </w:instrText>
          </w:r>
          <w:r>
            <w:fldChar w:fldCharType="separate"/>
          </w:r>
          <w:r>
            <w:rPr>
              <w:rStyle w:val="15"/>
              <w:rFonts w:ascii="仿宋" w:hAnsi="仿宋" w:eastAsia="仿宋" w:cs="楷体"/>
            </w:rPr>
            <w:t>（一）机关运行经费支出情况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_Toc113284439 \h </w:instrText>
          </w:r>
          <w:r>
            <w:rPr>
              <w:rFonts w:ascii="仿宋" w:hAnsi="仿宋" w:eastAsia="仿宋"/>
            </w:rPr>
            <w:fldChar w:fldCharType="separate"/>
          </w:r>
          <w:r>
            <w:rPr>
              <w:rFonts w:ascii="仿宋" w:hAnsi="仿宋" w:eastAsia="仿宋"/>
            </w:rPr>
            <w:t>1</w:t>
          </w:r>
          <w:r>
            <w:rPr>
              <w:rFonts w:hint="default" w:ascii="仿宋" w:hAnsi="仿宋" w:eastAsia="仿宋"/>
              <w:lang w:val="en"/>
            </w:rPr>
            <w:t>5</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"_Toc113284440" </w:instrText>
          </w:r>
          <w:r>
            <w:fldChar w:fldCharType="separate"/>
          </w:r>
          <w:r>
            <w:rPr>
              <w:rStyle w:val="15"/>
              <w:rFonts w:ascii="仿宋" w:hAnsi="仿宋" w:eastAsia="仿宋" w:cs="楷体"/>
            </w:rPr>
            <w:t>（二）政府采购支出情况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_Toc113284440 \h </w:instrText>
          </w:r>
          <w:r>
            <w:rPr>
              <w:rFonts w:ascii="仿宋" w:hAnsi="仿宋" w:eastAsia="仿宋"/>
            </w:rPr>
            <w:fldChar w:fldCharType="separate"/>
          </w:r>
          <w:r>
            <w:rPr>
              <w:rFonts w:ascii="仿宋" w:hAnsi="仿宋" w:eastAsia="仿宋"/>
            </w:rPr>
            <w:t>1</w:t>
          </w:r>
          <w:r>
            <w:rPr>
              <w:rFonts w:hint="default" w:ascii="仿宋" w:hAnsi="仿宋" w:eastAsia="仿宋"/>
              <w:lang w:val="en"/>
            </w:rPr>
            <w:t>5</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"_Toc113284441" </w:instrText>
          </w:r>
          <w:r>
            <w:fldChar w:fldCharType="separate"/>
          </w:r>
          <w:r>
            <w:rPr>
              <w:rStyle w:val="15"/>
              <w:rFonts w:ascii="仿宋" w:hAnsi="仿宋" w:eastAsia="仿宋" w:cs="楷体"/>
            </w:rPr>
            <w:t>（三）国有资产占有使用情况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_Toc113284441 \h </w:instrText>
          </w:r>
          <w:r>
            <w:rPr>
              <w:rFonts w:ascii="仿宋" w:hAnsi="仿宋" w:eastAsia="仿宋"/>
            </w:rPr>
            <w:fldChar w:fldCharType="separate"/>
          </w:r>
          <w:r>
            <w:rPr>
              <w:rFonts w:ascii="仿宋" w:hAnsi="仿宋" w:eastAsia="仿宋"/>
            </w:rPr>
            <w:t>1</w:t>
          </w:r>
          <w:r>
            <w:rPr>
              <w:rFonts w:hint="default" w:ascii="仿宋" w:hAnsi="仿宋" w:eastAsia="仿宋"/>
              <w:lang w:val="en"/>
            </w:rPr>
            <w:t>5</w:t>
          </w:r>
          <w:r>
            <w:rPr>
              <w:rFonts w:ascii="仿宋" w:hAnsi="仿宋" w:eastAsia="仿宋"/>
            </w:rPr>
            <w:fldChar w:fldCharType="end"/>
          </w:r>
          <w:r>
            <w:rPr>
              <w:rFonts w:ascii="仿宋" w:hAnsi="仿宋" w:eastAsia="仿宋"/>
            </w:rPr>
            <w:fldChar w:fldCharType="end"/>
          </w:r>
        </w:p>
        <w:p>
          <w:pPr>
            <w:pStyle w:val="6"/>
            <w:adjustRightInd w:val="0"/>
            <w:snapToGrid w:val="0"/>
            <w:spacing w:line="288" w:lineRule="auto"/>
            <w:rPr>
              <w:rFonts w:ascii="仿宋" w:hAnsi="仿宋" w:eastAsia="仿宋" w:cstheme="minorBidi"/>
              <w:szCs w:val="22"/>
            </w:rPr>
          </w:pPr>
          <w:r>
            <w:fldChar w:fldCharType="begin"/>
          </w:r>
          <w:r>
            <w:instrText xml:space="preserve"> HYPERLINK \l "_Toc113284442" </w:instrText>
          </w:r>
          <w:r>
            <w:fldChar w:fldCharType="separate"/>
          </w:r>
          <w:r>
            <w:rPr>
              <w:rStyle w:val="15"/>
              <w:rFonts w:ascii="仿宋" w:hAnsi="仿宋" w:eastAsia="仿宋" w:cs="楷体"/>
            </w:rPr>
            <w:t>（四）预算绩效管理情况</w:t>
          </w:r>
          <w:r>
            <w:rPr>
              <w:rFonts w:ascii="仿宋" w:hAnsi="仿宋" w:eastAsia="仿宋"/>
            </w:rPr>
            <w:tab/>
          </w:r>
          <w:r>
            <w:rPr>
              <w:rFonts w:ascii="仿宋" w:hAnsi="仿宋" w:eastAsia="仿宋"/>
            </w:rPr>
            <w:fldChar w:fldCharType="begin"/>
          </w:r>
          <w:r>
            <w:rPr>
              <w:rFonts w:ascii="仿宋" w:hAnsi="仿宋" w:eastAsia="仿宋"/>
            </w:rPr>
            <w:instrText xml:space="preserve"> PAGEREF _Toc113284442 \h </w:instrText>
          </w:r>
          <w:r>
            <w:rPr>
              <w:rFonts w:ascii="仿宋" w:hAnsi="仿宋" w:eastAsia="仿宋"/>
            </w:rPr>
            <w:fldChar w:fldCharType="separate"/>
          </w:r>
          <w:r>
            <w:rPr>
              <w:rFonts w:ascii="仿宋" w:hAnsi="仿宋" w:eastAsia="仿宋"/>
            </w:rPr>
            <w:t>1</w:t>
          </w:r>
          <w:r>
            <w:rPr>
              <w:rFonts w:hint="default" w:ascii="仿宋" w:hAnsi="仿宋" w:eastAsia="仿宋"/>
              <w:lang w:val="en"/>
            </w:rPr>
            <w:t>6</w:t>
          </w:r>
          <w:r>
            <w:rPr>
              <w:rFonts w:ascii="仿宋" w:hAnsi="仿宋" w:eastAsia="仿宋"/>
            </w:rPr>
            <w:fldChar w:fldCharType="end"/>
          </w:r>
          <w:r>
            <w:rPr>
              <w:rFonts w:ascii="仿宋" w:hAnsi="仿宋" w:eastAsia="仿宋"/>
            </w:rPr>
            <w:fldChar w:fldCharType="end"/>
          </w:r>
        </w:p>
        <w:p>
          <w:pPr>
            <w:pStyle w:val="10"/>
            <w:adjustRightInd w:val="0"/>
            <w:snapToGrid w:val="0"/>
            <w:spacing w:before="0" w:line="288" w:lineRule="auto"/>
            <w:rPr>
              <w:rFonts w:cstheme="minorBidi"/>
              <w:sz w:val="21"/>
              <w:szCs w:val="22"/>
            </w:rPr>
          </w:pPr>
          <w:r>
            <w:fldChar w:fldCharType="begin"/>
          </w:r>
          <w:r>
            <w:instrText xml:space="preserve"> HYPERLINK \l "_Toc113284443" </w:instrText>
          </w:r>
          <w:r>
            <w:fldChar w:fldCharType="separate"/>
          </w:r>
          <w:r>
            <w:rPr>
              <w:rStyle w:val="15"/>
            </w:rPr>
            <w:t>第三部分名</w:t>
          </w:r>
          <w:r>
            <w:rPr>
              <w:rStyle w:val="15"/>
              <w:bCs/>
              <w:kern w:val="44"/>
            </w:rPr>
            <w:t>词解释</w:t>
          </w:r>
          <w:r>
            <w:tab/>
          </w:r>
          <w:r>
            <w:rPr>
              <w:sz w:val="21"/>
              <w:szCs w:val="21"/>
            </w:rPr>
            <w:fldChar w:fldCharType="begin"/>
          </w:r>
          <w:r>
            <w:rPr>
              <w:sz w:val="21"/>
              <w:szCs w:val="21"/>
            </w:rPr>
            <w:instrText xml:space="preserve"> PAGEREF _Toc113284443 \h </w:instrText>
          </w:r>
          <w:r>
            <w:rPr>
              <w:sz w:val="21"/>
              <w:szCs w:val="21"/>
            </w:rPr>
            <w:fldChar w:fldCharType="separate"/>
          </w:r>
          <w:r>
            <w:rPr>
              <w:sz w:val="21"/>
              <w:szCs w:val="21"/>
            </w:rPr>
            <w:t>1</w:t>
          </w:r>
          <w:r>
            <w:rPr>
              <w:rFonts w:hint="default"/>
              <w:sz w:val="21"/>
              <w:szCs w:val="21"/>
              <w:lang w:val="en"/>
            </w:rPr>
            <w:t>7</w:t>
          </w:r>
          <w:r>
            <w:rPr>
              <w:sz w:val="21"/>
              <w:szCs w:val="21"/>
            </w:rPr>
            <w:fldChar w:fldCharType="end"/>
          </w:r>
          <w:r>
            <w:rPr>
              <w:sz w:val="21"/>
              <w:szCs w:val="21"/>
            </w:rPr>
            <w:fldChar w:fldCharType="end"/>
          </w:r>
        </w:p>
        <w:p>
          <w:pPr>
            <w:pStyle w:val="10"/>
            <w:adjustRightInd w:val="0"/>
            <w:snapToGrid w:val="0"/>
            <w:spacing w:before="0" w:line="288" w:lineRule="auto"/>
            <w:rPr>
              <w:rFonts w:hint="default" w:cstheme="minorBidi"/>
              <w:sz w:val="21"/>
              <w:szCs w:val="22"/>
              <w:lang w:val="en"/>
            </w:rPr>
          </w:pPr>
          <w:r>
            <w:fldChar w:fldCharType="begin"/>
          </w:r>
          <w:r>
            <w:instrText xml:space="preserve"> HYPERLINK \l "_Toc113284444" </w:instrText>
          </w:r>
          <w:r>
            <w:fldChar w:fldCharType="separate"/>
          </w:r>
          <w:r>
            <w:rPr>
              <w:rStyle w:val="15"/>
            </w:rPr>
            <w:t>第</w:t>
          </w:r>
          <w:r>
            <w:rPr>
              <w:rStyle w:val="15"/>
              <w:bCs/>
              <w:kern w:val="44"/>
            </w:rPr>
            <w:t>四部分 附件</w:t>
          </w:r>
          <w:r>
            <w:tab/>
          </w:r>
          <w:r>
            <w:rPr>
              <w:rFonts w:hint="default"/>
              <w:sz w:val="21"/>
              <w:szCs w:val="21"/>
              <w:lang w:val="en"/>
            </w:rPr>
            <w:t>2</w:t>
          </w:r>
          <w:r>
            <w:rPr>
              <w:sz w:val="21"/>
              <w:szCs w:val="21"/>
            </w:rPr>
            <w:fldChar w:fldCharType="end"/>
          </w:r>
          <w:r>
            <w:rPr>
              <w:rFonts w:hint="default"/>
              <w:sz w:val="21"/>
              <w:szCs w:val="21"/>
              <w:lang w:val="en"/>
            </w:rPr>
            <w:t>1</w:t>
          </w:r>
        </w:p>
        <w:p>
          <w:pPr>
            <w:pStyle w:val="10"/>
            <w:adjustRightInd w:val="0"/>
            <w:snapToGrid w:val="0"/>
            <w:spacing w:before="0" w:line="288" w:lineRule="auto"/>
            <w:rPr>
              <w:rFonts w:cstheme="minorBidi"/>
              <w:sz w:val="21"/>
              <w:szCs w:val="22"/>
            </w:rPr>
          </w:pPr>
          <w:r>
            <w:fldChar w:fldCharType="begin"/>
          </w:r>
          <w:r>
            <w:instrText xml:space="preserve"> HYPERLINK \l "_Toc113284445" </w:instrText>
          </w:r>
          <w:r>
            <w:fldChar w:fldCharType="separate"/>
          </w:r>
          <w:r>
            <w:rPr>
              <w:rStyle w:val="15"/>
            </w:rPr>
            <w:t>第</w:t>
          </w:r>
          <w:r>
            <w:rPr>
              <w:rStyle w:val="15"/>
              <w:bCs/>
              <w:kern w:val="44"/>
            </w:rPr>
            <w:t>五部分 附表</w:t>
          </w:r>
          <w: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sz w:val="21"/>
              <w:szCs w:val="21"/>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"_Toc113284446" </w:instrText>
          </w:r>
          <w:r>
            <w:fldChar w:fldCharType="separate"/>
          </w:r>
          <w:r>
            <w:rPr>
              <w:rStyle w:val="15"/>
              <w:rFonts w:ascii="仿宋" w:hAnsi="仿宋" w:eastAsia="仿宋" w:cs="仿宋_GB2312"/>
            </w:rPr>
            <w:t>一、收入支出决算总表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"_Toc113284447" </w:instrText>
          </w:r>
          <w:r>
            <w:fldChar w:fldCharType="separate"/>
          </w:r>
          <w:r>
            <w:rPr>
              <w:rStyle w:val="15"/>
              <w:rFonts w:ascii="仿宋" w:hAnsi="仿宋" w:eastAsia="仿宋" w:cs="仿宋_GB2312"/>
            </w:rPr>
            <w:t>二、收入决算表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"_Toc113284448" </w:instrText>
          </w:r>
          <w:r>
            <w:fldChar w:fldCharType="separate"/>
          </w:r>
          <w:r>
            <w:rPr>
              <w:rStyle w:val="15"/>
              <w:rFonts w:ascii="仿宋" w:hAnsi="仿宋" w:eastAsia="仿宋" w:cs="仿宋_GB2312"/>
            </w:rPr>
            <w:t>三、支出决算表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"_Toc113284449" </w:instrText>
          </w:r>
          <w:r>
            <w:fldChar w:fldCharType="separate"/>
          </w:r>
          <w:r>
            <w:rPr>
              <w:rStyle w:val="15"/>
              <w:rFonts w:ascii="仿宋" w:hAnsi="仿宋" w:eastAsia="仿宋" w:cs="仿宋_GB2312"/>
            </w:rPr>
            <w:t>四、财政拨款收入支出决算总表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"_Toc113284450" </w:instrText>
          </w:r>
          <w:r>
            <w:fldChar w:fldCharType="separate"/>
          </w:r>
          <w:r>
            <w:rPr>
              <w:rStyle w:val="15"/>
              <w:rFonts w:ascii="仿宋" w:hAnsi="仿宋" w:eastAsia="仿宋" w:cs="仿宋_GB2312"/>
            </w:rPr>
            <w:t>五、财政拨款支出决算明细表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"_Toc113284451" </w:instrText>
          </w:r>
          <w:r>
            <w:fldChar w:fldCharType="separate"/>
          </w:r>
          <w:r>
            <w:rPr>
              <w:rStyle w:val="15"/>
              <w:rFonts w:ascii="仿宋" w:hAnsi="仿宋" w:eastAsia="仿宋" w:cs="仿宋_GB2312"/>
            </w:rPr>
            <w:t>六、一般公共预算财政拨款支出决算表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"_Toc113284452" </w:instrText>
          </w:r>
          <w:r>
            <w:fldChar w:fldCharType="separate"/>
          </w:r>
          <w:r>
            <w:rPr>
              <w:rStyle w:val="15"/>
              <w:rFonts w:ascii="仿宋" w:hAnsi="仿宋" w:eastAsia="仿宋" w:cs="仿宋_GB2312"/>
            </w:rPr>
            <w:t>七、一般公共预算财政拨款支出决算明细表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"_Toc113284453" </w:instrText>
          </w:r>
          <w:r>
            <w:fldChar w:fldCharType="separate"/>
          </w:r>
          <w:r>
            <w:rPr>
              <w:rStyle w:val="15"/>
              <w:rFonts w:ascii="仿宋" w:hAnsi="仿宋" w:eastAsia="仿宋" w:cs="仿宋_GB2312"/>
            </w:rPr>
            <w:t>八、一般公共预算财政拨款基本支出决算表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"_Toc113284454" </w:instrText>
          </w:r>
          <w:r>
            <w:fldChar w:fldCharType="separate"/>
          </w:r>
          <w:r>
            <w:rPr>
              <w:rStyle w:val="15"/>
              <w:rFonts w:ascii="仿宋" w:hAnsi="仿宋" w:eastAsia="仿宋" w:cs="仿宋_GB2312"/>
            </w:rPr>
            <w:t>九、一般公共预算财政拨款项目支出决算表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"_Toc113284455" </w:instrText>
          </w:r>
          <w:r>
            <w:fldChar w:fldCharType="separate"/>
          </w:r>
          <w:r>
            <w:rPr>
              <w:rStyle w:val="15"/>
              <w:rFonts w:ascii="仿宋" w:hAnsi="仿宋" w:eastAsia="仿宋" w:cs="仿宋_GB2312"/>
            </w:rPr>
            <w:t>十、一般公共预算财政拨款“三公”经费支出决算表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"_Toc113284456" </w:instrText>
          </w:r>
          <w:r>
            <w:fldChar w:fldCharType="separate"/>
          </w:r>
          <w:r>
            <w:rPr>
              <w:rStyle w:val="15"/>
              <w:rFonts w:ascii="仿宋" w:hAnsi="仿宋" w:eastAsia="仿宋" w:cs="仿宋_GB2312"/>
            </w:rPr>
            <w:t>十一、政府性基金预算财政拨款收入支出决算表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"_Toc113284457" </w:instrText>
          </w:r>
          <w:r>
            <w:fldChar w:fldCharType="separate"/>
          </w:r>
          <w:r>
            <w:rPr>
              <w:rStyle w:val="15"/>
              <w:rFonts w:ascii="仿宋" w:hAnsi="仿宋" w:eastAsia="仿宋" w:cs="仿宋_GB2312"/>
            </w:rPr>
            <w:t>十二、</w:t>
          </w:r>
          <w:r>
            <w:rPr>
              <w:rStyle w:val="15"/>
              <w:rFonts w:ascii="仿宋" w:hAnsi="仿宋" w:eastAsia="仿宋" w:cs="仿宋_GB2312"/>
              <w:w w:val="95"/>
            </w:rPr>
            <w:t>政府性基金预算财政拨款“三公”经费支出决算表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仿宋" w:hAnsi="仿宋" w:eastAsia="仿宋" w:cstheme="minorBidi"/>
              <w:szCs w:val="22"/>
            </w:rPr>
          </w:pPr>
          <w:r>
            <w:fldChar w:fldCharType="begin"/>
          </w:r>
          <w:r>
            <w:instrText xml:space="preserve"> HYPERLINK \l "_Toc113284458" </w:instrText>
          </w:r>
          <w:r>
            <w:fldChar w:fldCharType="separate"/>
          </w:r>
          <w:r>
            <w:rPr>
              <w:rStyle w:val="15"/>
              <w:rFonts w:ascii="仿宋" w:hAnsi="仿宋" w:eastAsia="仿宋" w:cs="仿宋_GB2312"/>
            </w:rPr>
            <w:t>十三、国有资本经营预算财政拨款收入支出决算表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p>
        <w:p>
          <w:pPr>
            <w:pStyle w:val="11"/>
            <w:adjustRightInd w:val="0"/>
            <w:snapToGrid w:val="0"/>
            <w:spacing w:line="288" w:lineRule="auto"/>
            <w:rPr>
              <w:rFonts w:asciiTheme="minorHAnsi" w:hAnsiTheme="minorHAnsi" w:eastAsiaTheme="minorEastAsia" w:cstheme="minorBidi"/>
              <w:szCs w:val="22"/>
            </w:rPr>
          </w:pPr>
          <w:r>
            <w:fldChar w:fldCharType="begin"/>
          </w:r>
          <w:r>
            <w:instrText xml:space="preserve"> HYPERLINK \l "_Toc113284459" </w:instrText>
          </w:r>
          <w:r>
            <w:fldChar w:fldCharType="separate"/>
          </w:r>
          <w:r>
            <w:rPr>
              <w:rStyle w:val="15"/>
              <w:rFonts w:ascii="仿宋" w:hAnsi="仿宋" w:eastAsia="仿宋" w:cs="仿宋_GB2312"/>
            </w:rPr>
            <w:t>十四、国有资本经营预算财政拨款支出决算表</w:t>
          </w:r>
          <w:r>
            <w:rPr>
              <w:rFonts w:ascii="仿宋" w:hAnsi="仿宋" w:eastAsia="仿宋"/>
            </w:rPr>
            <w:tab/>
          </w:r>
          <w:r>
            <w:rPr>
              <w:sz w:val="21"/>
              <w:szCs w:val="21"/>
            </w:rPr>
            <w:fldChar w:fldCharType="begin"/>
          </w:r>
          <w:r>
            <w:rPr>
              <w:sz w:val="21"/>
              <w:szCs w:val="21"/>
            </w:rPr>
            <w:instrText xml:space="preserve"> PAGEREF _Toc113284445 \h </w:instrText>
          </w:r>
          <w:r>
            <w:rPr>
              <w:sz w:val="21"/>
              <w:szCs w:val="21"/>
            </w:rPr>
            <w:fldChar w:fldCharType="separate"/>
          </w:r>
          <w:r>
            <w:rPr>
              <w:sz w:val="21"/>
              <w:szCs w:val="21"/>
            </w:rPr>
            <w:t>2</w:t>
          </w:r>
          <w:r>
            <w:rPr>
              <w:rFonts w:hint="default"/>
              <w:sz w:val="21"/>
              <w:szCs w:val="21"/>
              <w:lang w:val="en"/>
            </w:rPr>
            <w:t>2</w:t>
          </w:r>
          <w:r>
            <w:rPr>
              <w:sz w:val="21"/>
              <w:szCs w:val="21"/>
            </w:rPr>
            <w:fldChar w:fldCharType="end"/>
          </w:r>
          <w:r>
            <w:rPr>
              <w:rFonts w:ascii="仿宋" w:hAnsi="仿宋" w:eastAsia="仿宋"/>
            </w:rPr>
            <w:fldChar w:fldCharType="end"/>
          </w:r>
          <w:bookmarkStart w:id="107" w:name="_GoBack"/>
          <w:bookmarkEnd w:id="107"/>
        </w:p>
        <w:p>
          <w:r>
            <w:rPr>
              <w:b/>
              <w:bCs/>
            </w:rPr>
            <w:fldChar w:fldCharType="end"/>
          </w:r>
        </w:p>
      </w:sdtContent>
    </w:sdt>
    <w:p>
      <w:pPr>
        <w:widowControl/>
        <w:adjustRightInd w:val="0"/>
        <w:snapToGrid w:val="0"/>
        <w:spacing w:line="440" w:lineRule="exact"/>
        <w:ind w:firstLine="1320" w:firstLineChars="550"/>
        <w:jc w:val="left"/>
        <w:rPr>
          <w:rFonts w:eastAsia="仿宋_GB2312"/>
          <w:sz w:val="24"/>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spacing w:before="0" w:after="0" w:line="600" w:lineRule="exact"/>
        <w:jc w:val="center"/>
        <w:rPr>
          <w:rStyle w:val="24"/>
          <w:rFonts w:ascii="黑体" w:hAnsi="黑体" w:eastAsia="黑体"/>
          <w:b/>
          <w:bCs w:val="0"/>
        </w:rPr>
      </w:pPr>
      <w:bookmarkStart w:id="14" w:name="_Toc113284420"/>
      <w:r>
        <w:rPr>
          <w:rFonts w:hint="eastAsia" w:ascii="黑体" w:hAnsi="黑体" w:eastAsia="黑体"/>
          <w:b w:val="0"/>
        </w:rPr>
        <w:t>第一部分 单位</w:t>
      </w:r>
      <w:r>
        <w:rPr>
          <w:rStyle w:val="24"/>
          <w:rFonts w:hint="eastAsia" w:ascii="黑体" w:hAnsi="黑体" w:eastAsia="黑体"/>
          <w:b w:val="0"/>
          <w:bCs w:val="0"/>
        </w:rPr>
        <w:t>概况</w:t>
      </w:r>
      <w:bookmarkEnd w:id="12"/>
      <w:bookmarkEnd w:id="13"/>
      <w:bookmarkEnd w:id="14"/>
    </w:p>
    <w:p>
      <w:pPr>
        <w:widowControl/>
        <w:spacing w:line="600" w:lineRule="exact"/>
        <w:jc w:val="left"/>
        <w:rPr>
          <w:rFonts w:ascii="黑体" w:eastAsia="黑体"/>
          <w:sz w:val="32"/>
          <w:szCs w:val="32"/>
        </w:rPr>
      </w:pPr>
    </w:p>
    <w:p>
      <w:pPr>
        <w:pStyle w:val="4"/>
        <w:spacing w:before="0" w:after="0" w:line="600" w:lineRule="exact"/>
        <w:ind w:firstLine="640" w:firstLineChars="200"/>
        <w:rPr>
          <w:rStyle w:val="25"/>
          <w:rFonts w:ascii="黑体" w:hAnsi="黑体" w:eastAsia="黑体"/>
          <w:b w:val="0"/>
          <w:bCs w:val="0"/>
        </w:rPr>
      </w:pPr>
      <w:bookmarkStart w:id="15" w:name="_Toc113284421"/>
      <w:bookmarkStart w:id="16" w:name="_Toc15377197"/>
      <w:bookmarkStart w:id="17" w:name="_Toc15396600"/>
      <w:r>
        <w:rPr>
          <w:rStyle w:val="25"/>
          <w:rFonts w:hint="eastAsia" w:ascii="黑体" w:hAnsi="黑体" w:eastAsia="黑体"/>
          <w:b w:val="0"/>
          <w:bCs w:val="0"/>
        </w:rPr>
        <w:t>一、职能简介</w:t>
      </w:r>
      <w:bookmarkEnd w:id="15"/>
    </w:p>
    <w:p>
      <w:pPr>
        <w:spacing w:line="600" w:lineRule="exact"/>
        <w:ind w:firstLine="640" w:firstLineChars="200"/>
        <w:rPr>
          <w:rFonts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四川驻沪办受省政府委托行使职权，负责联系上海、江苏、浙江、安徽、山东、湖北、河南等六省一市。</w:t>
      </w:r>
      <w:r>
        <w:rPr>
          <w:rFonts w:hint="eastAsia" w:ascii="仿宋_GB2312" w:hAnsi="仿宋_GB2312" w:eastAsia="仿宋_GB2312" w:cs="仿宋_GB2312"/>
          <w:color w:val="0D0D0D"/>
          <w:kern w:val="0"/>
          <w:sz w:val="32"/>
          <w:szCs w:val="32"/>
        </w:rPr>
        <w:t>一是</w:t>
      </w:r>
      <w:r>
        <w:rPr>
          <w:rFonts w:hint="eastAsia" w:ascii="仿宋_GB2312" w:hAnsi="仿宋_GB2312" w:eastAsia="仿宋_GB2312" w:cs="仿宋_GB2312"/>
          <w:color w:val="0D0D0D"/>
          <w:sz w:val="32"/>
          <w:szCs w:val="32"/>
        </w:rPr>
        <w:t>促进经济合作。围绕省委、省政府的工作部署和我省经济建设中心工作，组织实施充分开放合作战略，推进区域经济合作；加强与所联系区域的重点企业的联系，加强投资意向的收集、分析、对接，开展投资促进工作；配合我省投资促进重大活动，搭建专业化合作平台，为省级部门、市（州）和重点园区开展投资促进活动提供服务；二是开展政务和信息服务。开展专题调研和信息工作，及时准确向省委、省政府及省直有关部门提供联系区域政治、经济、社会信息，为省委、省政府决策提供参考依据；负责与联系区域的党委、政府及有关部门的联系，促进区域间的相互了解和友好往来；参与我省与联系区域之间重大政务活动的组织、协调和服务工作；协助联系区域党组织对我省流动党员的管理和党建工作；指导我省驻外机构、商（协）会工作。三是承担劳务服务工作。承担劳务调研和服务、川籍农民工管理、突发事件处置等工作；维护我省各类组织机构和人员在联系区域的合法权益，协助调解劳务纠纷；参与劳务输出和结构性劳动力回流有关工作；四是承办省委、省政府和主管部门交办的其他事宜。</w:t>
      </w:r>
    </w:p>
    <w:p>
      <w:pPr>
        <w:pStyle w:val="4"/>
        <w:spacing w:before="0" w:after="0" w:line="600" w:lineRule="exact"/>
        <w:ind w:firstLine="640" w:firstLineChars="200"/>
        <w:rPr>
          <w:rFonts w:ascii="黑体" w:hAnsi="黑体" w:eastAsia="黑体"/>
          <w:b w:val="0"/>
        </w:rPr>
      </w:pPr>
      <w:bookmarkStart w:id="18" w:name="_Toc113284422"/>
      <w:r>
        <w:rPr>
          <w:rFonts w:hint="eastAsia" w:ascii="黑体" w:hAnsi="黑体" w:eastAsia="黑体"/>
          <w:b w:val="0"/>
        </w:rPr>
        <w:t>二、2021年重点工作</w:t>
      </w:r>
      <w:bookmarkEnd w:id="16"/>
      <w:bookmarkEnd w:id="17"/>
      <w:r>
        <w:rPr>
          <w:rFonts w:hint="eastAsia" w:ascii="黑体" w:hAnsi="黑体" w:eastAsia="黑体"/>
          <w:b w:val="0"/>
        </w:rPr>
        <w:t>完成情况</w:t>
      </w:r>
      <w:bookmarkEnd w:id="18"/>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1.用好政治建设牵引力，干事创业激情持续焕发。鲜明红色主基调，把学习贯彻习近平新时代中国特色社会主义思想、开展党史学习教育、庆祝建党一百周年、学习贯彻党的十九届六中全会精神作为重中之重，引导党员干部增强“四个意识”、坚定“四个自信”、捍卫“两个确立”，做到“两个维护”，不断提高政治判断力、政治领悟力和政治执行力，凝心聚力打好一场又一场开放合作的攻坚战、持久战。</w:t>
      </w:r>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2.打好精准招商攻坚战，项目资金招引保质保量。围绕全省经济合作“协同·创新·提质年”主题，按照“热情招商、紧追洽谈、审慎签约、全力落实”的要求，立体纵深打造更具影响力的经济合作平台。一是改革创新，实施“抱团作战”抓住关键。在办事处机关推行‘“全办招商”，对市州招商力量实行“三推介一带领”模式，共同做大东企西引、东资西投的“蛋糕”；二是平台聚合，深化“以会招商”提升效能。沉着应对疫情、台风等“变量”因素影响，圆满完成“党政代表团浙江行”、“西博会””、“四川行”、“成渝地区双城经济圈全城投资推介会”等21场省级投资促进活动的筹办或协办任务；三是紧追洽谈，争取高层推动促进落地。以省级经济合作平台为载体，邀请的56家重量级企业和商协会负责人受到省领导会见；四是招优引强，促成重大项目强链补链；五是聚焦推进，围绕“百日攻坚”开展高质量活动。</w:t>
      </w:r>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3.走好心手相连暖心路，农民工服务保障扩面强基。按照“两个服务好”指示精神以及农民工工作批示精神，以深化“四中心一回引”工程为抓手，打造更具影响力的“川字号”劳务品牌，书写走好新时代党的群众路线“四川驻沪办”新篇章。</w:t>
      </w:r>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4.当好信息服务排头兵，传播四川好声音愈发响亮。围绕我省中心工作、全办重点任务，拓宽信息渠道、整合信息资源、挖掘信息深度，对外传播四川好声音，对内递送东部好经验。</w:t>
      </w:r>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5.建好驻外人才工作站，招才引智工作开局良好。“四川省驻外人才工作站”授牌后，经研究初步确定“抓基础、搭框架、找链接、促合作”的思路逐步破题。配合省委组织部开展应届急需紧缺专业选调生招录面试工作，举办在沪人才座谈会，推介四川经济社会发展情况、创新创业环境、引智政策和高层次人才需求等。</w:t>
      </w:r>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6.续好东西协作“山海情”，川浙交流合作更加紧密。借助浙川东西部协作这个最大的制度优势，把“浙江”作为我办投资促进、推动开放合作的热门“首选地”。</w:t>
      </w:r>
    </w:p>
    <w:p>
      <w:pPr>
        <w:spacing w:line="600" w:lineRule="exact"/>
        <w:ind w:firstLine="640" w:firstLineChars="200"/>
        <w:rPr>
          <w:rFonts w:hint="eastAsia" w:ascii="仿宋_GB2312" w:hAnsi="仿宋_GB2312" w:eastAsia="仿宋_GB2312" w:cs="仿宋_GB2312"/>
          <w:color w:val="0D0D0D"/>
          <w:sz w:val="32"/>
          <w:szCs w:val="32"/>
        </w:rPr>
      </w:pPr>
      <w:r>
        <w:rPr>
          <w:rFonts w:hint="eastAsia" w:ascii="仿宋_GB2312" w:hAnsi="仿宋_GB2312" w:eastAsia="仿宋_GB2312" w:cs="仿宋_GB2312"/>
          <w:color w:val="0D0D0D"/>
          <w:sz w:val="32"/>
          <w:szCs w:val="32"/>
        </w:rPr>
        <w:t>7.铸好干部淬炼“大熔炉”，干部队伍能力逐步提升。努力建好“四好一强”领导班子，把“抓班子、带队伍，抓活力、聚合力，抓资源、搭平台，抓服务、树形象”统筹起来一体推进。</w:t>
      </w:r>
    </w:p>
    <w:p>
      <w:pPr>
        <w:spacing w:line="600" w:lineRule="exact"/>
        <w:ind w:firstLine="640" w:firstLineChars="200"/>
        <w:rPr>
          <w:rFonts w:hint="eastAsia" w:ascii="黑体" w:hAnsi="黑体" w:eastAsia="黑体" w:cstheme="majorBidi"/>
          <w:b w:val="0"/>
          <w:bCs/>
          <w:kern w:val="2"/>
          <w:sz w:val="32"/>
          <w:szCs w:val="32"/>
          <w:lang w:val="en-US" w:eastAsia="zh-CN" w:bidi="ar-SA"/>
        </w:rPr>
      </w:pPr>
    </w:p>
    <w:p>
      <w:pPr>
        <w:spacing w:line="600" w:lineRule="exact"/>
        <w:ind w:firstLine="640" w:firstLineChars="200"/>
        <w:rPr>
          <w:rFonts w:hint="eastAsia" w:ascii="黑体" w:hAnsi="黑体" w:eastAsia="黑体" w:cstheme="majorBidi"/>
          <w:b w:val="0"/>
          <w:bCs/>
          <w:kern w:val="2"/>
          <w:sz w:val="32"/>
          <w:szCs w:val="32"/>
          <w:lang w:val="en-US" w:eastAsia="zh-CN" w:bidi="ar-SA"/>
        </w:rPr>
      </w:pPr>
      <w:r>
        <w:rPr>
          <w:rFonts w:hint="eastAsia" w:ascii="黑体" w:hAnsi="黑体" w:eastAsia="黑体" w:cstheme="majorBidi"/>
          <w:b w:val="0"/>
          <w:bCs/>
          <w:kern w:val="2"/>
          <w:sz w:val="32"/>
          <w:szCs w:val="32"/>
          <w:lang w:val="en-US" w:eastAsia="zh-CN" w:bidi="ar-SA"/>
        </w:rPr>
        <w:t>三、机构设置情况</w:t>
      </w:r>
    </w:p>
    <w:p>
      <w:pPr>
        <w:pStyle w:val="2"/>
        <w:ind w:firstLine="640" w:firstLineChars="200"/>
        <w:rPr>
          <w:rFonts w:hint="eastAsia" w:ascii="仿宋_GB2312" w:hAnsi="仿宋_GB2312" w:eastAsia="仿宋_GB2312" w:cs="仿宋_GB2312"/>
          <w:color w:val="0D0D0D"/>
          <w:kern w:val="2"/>
          <w:sz w:val="32"/>
          <w:szCs w:val="32"/>
          <w:lang w:val="en-US" w:eastAsia="zh-CN" w:bidi="ar-SA"/>
        </w:rPr>
      </w:pPr>
      <w:r>
        <w:rPr>
          <w:rFonts w:hint="eastAsia" w:ascii="仿宋_GB2312" w:hAnsi="仿宋_GB2312" w:eastAsia="仿宋_GB2312" w:cs="仿宋_GB2312"/>
          <w:color w:val="0D0D0D"/>
          <w:kern w:val="2"/>
          <w:sz w:val="32"/>
          <w:szCs w:val="32"/>
          <w:lang w:val="en-US" w:eastAsia="zh-CN" w:bidi="ar-SA"/>
        </w:rPr>
        <w:t>四川驻沪办由4个内设处室组成，分别是：秘书处、经济合作处、综合信息处、劳务工作处。</w:t>
      </w: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pStyle w:val="2"/>
        <w:ind w:firstLine="640" w:firstLineChars="200"/>
        <w:rPr>
          <w:rFonts w:hint="eastAsia" w:ascii="仿宋_GB2312" w:hAnsi="仿宋_GB2312" w:eastAsia="仿宋_GB2312" w:cs="仿宋_GB2312"/>
          <w:color w:val="0D0D0D"/>
          <w:kern w:val="2"/>
          <w:sz w:val="32"/>
          <w:szCs w:val="32"/>
          <w:lang w:val="en-US" w:eastAsia="zh-CN" w:bidi="ar-SA"/>
        </w:rPr>
      </w:pPr>
    </w:p>
    <w:p>
      <w:pPr>
        <w:spacing w:line="600" w:lineRule="exact"/>
        <w:jc w:val="center"/>
        <w:rPr>
          <w:rStyle w:val="24"/>
          <w:rFonts w:ascii="黑体" w:hAnsi="黑体" w:eastAsia="黑体"/>
          <w:b w:val="0"/>
          <w:bCs/>
        </w:rPr>
      </w:pPr>
      <w:bookmarkStart w:id="19" w:name="_Toc15377204"/>
      <w:bookmarkStart w:id="20" w:name="_Toc113284423"/>
      <w:bookmarkStart w:id="21" w:name="_Toc15396602"/>
      <w:r>
        <w:rPr>
          <w:rStyle w:val="24"/>
          <w:rFonts w:hint="eastAsia" w:ascii="黑体" w:hAnsi="黑体" w:eastAsia="黑体" w:cstheme="minorBidi"/>
          <w:b w:val="0"/>
          <w:bCs/>
        </w:rPr>
        <w:t>第二部分 2021年度</w:t>
      </w:r>
      <w:r>
        <w:rPr>
          <w:rStyle w:val="24"/>
          <w:rFonts w:hint="eastAsia" w:ascii="黑体" w:hAnsi="黑体" w:eastAsia="黑体"/>
          <w:b w:val="0"/>
          <w:bCs/>
        </w:rPr>
        <w:t>单位决算情况说明</w:t>
      </w:r>
      <w:bookmarkEnd w:id="19"/>
      <w:bookmarkEnd w:id="20"/>
      <w:bookmarkEnd w:id="21"/>
    </w:p>
    <w:p>
      <w:pPr>
        <w:pStyle w:val="23"/>
        <w:numPr>
          <w:ilvl w:val="0"/>
          <w:numId w:val="1"/>
        </w:numPr>
        <w:spacing w:line="600" w:lineRule="exact"/>
        <w:ind w:firstLineChars="0"/>
        <w:outlineLvl w:val="1"/>
        <w:rPr>
          <w:rStyle w:val="25"/>
          <w:rFonts w:ascii="黑体" w:hAnsi="黑体" w:eastAsia="黑体"/>
          <w:b w:val="0"/>
        </w:rPr>
      </w:pPr>
      <w:bookmarkStart w:id="22" w:name="_Toc15377205"/>
      <w:bookmarkStart w:id="23" w:name="_Toc15396603"/>
      <w:bookmarkStart w:id="24" w:name="_Toc113284424"/>
      <w:r>
        <w:rPr>
          <w:rFonts w:hint="eastAsia" w:ascii="黑体" w:hAnsi="黑体" w:eastAsia="黑体"/>
          <w:sz w:val="32"/>
          <w:szCs w:val="32"/>
        </w:rPr>
        <w:t>收</w:t>
      </w:r>
      <w:r>
        <w:rPr>
          <w:rStyle w:val="25"/>
          <w:rFonts w:hint="eastAsia" w:ascii="黑体" w:hAnsi="黑体" w:eastAsia="黑体"/>
          <w:b w:val="0"/>
        </w:rPr>
        <w:t>入支出决算总体情况说明</w:t>
      </w:r>
      <w:bookmarkEnd w:id="22"/>
      <w:bookmarkEnd w:id="23"/>
      <w:bookmarkEnd w:id="24"/>
    </w:p>
    <w:p>
      <w:pPr>
        <w:spacing w:line="600" w:lineRule="exact"/>
        <w:ind w:firstLine="640" w:firstLineChars="200"/>
        <w:rPr>
          <w:rFonts w:eastAsia="仿宋_GB2312"/>
          <w:bCs/>
          <w:sz w:val="32"/>
          <w:szCs w:val="32"/>
        </w:rPr>
      </w:pPr>
      <w:r>
        <w:rPr>
          <w:rFonts w:eastAsia="仿宋_GB2312"/>
          <w:bCs/>
          <w:sz w:val="32"/>
          <w:szCs w:val="32"/>
        </w:rPr>
        <w:t>2021年度收、</w:t>
      </w:r>
      <w:r>
        <w:rPr>
          <w:rFonts w:eastAsia="仿宋_GB2312"/>
          <w:bCs/>
          <w:color w:val="000000" w:themeColor="text1"/>
          <w:sz w:val="32"/>
          <w:szCs w:val="32"/>
        </w:rPr>
        <w:t>支总计</w:t>
      </w:r>
      <w:r>
        <w:rPr>
          <w:rFonts w:hint="eastAsia" w:eastAsia="仿宋_GB2312"/>
          <w:bCs/>
          <w:color w:val="000000" w:themeColor="text1"/>
          <w:sz w:val="32"/>
          <w:szCs w:val="32"/>
        </w:rPr>
        <w:t>1308.31</w:t>
      </w:r>
      <w:r>
        <w:rPr>
          <w:rFonts w:eastAsia="仿宋_GB2312"/>
          <w:bCs/>
          <w:color w:val="000000" w:themeColor="text1"/>
          <w:sz w:val="32"/>
          <w:szCs w:val="32"/>
        </w:rPr>
        <w:t>万元。与2020年相比，收、支总计各增加</w:t>
      </w:r>
      <w:r>
        <w:rPr>
          <w:rFonts w:hint="eastAsia" w:eastAsia="仿宋_GB2312"/>
          <w:bCs/>
          <w:color w:val="000000" w:themeColor="text1"/>
          <w:sz w:val="32"/>
          <w:szCs w:val="32"/>
        </w:rPr>
        <w:t>324.31</w:t>
      </w:r>
      <w:r>
        <w:rPr>
          <w:rFonts w:eastAsia="仿宋_GB2312"/>
          <w:bCs/>
          <w:color w:val="000000" w:themeColor="text1"/>
          <w:sz w:val="32"/>
          <w:szCs w:val="32"/>
        </w:rPr>
        <w:t>万元，增长</w:t>
      </w:r>
      <w:r>
        <w:rPr>
          <w:rFonts w:hint="eastAsia" w:eastAsia="仿宋_GB2312"/>
          <w:bCs/>
          <w:color w:val="000000" w:themeColor="text1"/>
          <w:sz w:val="32"/>
          <w:szCs w:val="32"/>
        </w:rPr>
        <w:t>32.96</w:t>
      </w:r>
      <w:r>
        <w:rPr>
          <w:rFonts w:eastAsia="仿宋_GB2312"/>
          <w:bCs/>
          <w:color w:val="000000" w:themeColor="text1"/>
          <w:sz w:val="32"/>
          <w:szCs w:val="32"/>
        </w:rPr>
        <w:t>%。主</w:t>
      </w:r>
      <w:r>
        <w:rPr>
          <w:rFonts w:eastAsia="仿宋_GB2312"/>
          <w:bCs/>
          <w:sz w:val="32"/>
          <w:szCs w:val="32"/>
        </w:rPr>
        <w:t>要变动原因是人员经费增加和省级预算内基本建设资金新增。</w:t>
      </w:r>
    </w:p>
    <w:p>
      <w:pPr>
        <w:pStyle w:val="2"/>
        <w:tabs>
          <w:tab w:val="left" w:pos="8222"/>
        </w:tabs>
        <w:spacing w:before="93"/>
      </w:pPr>
      <w:r>
        <w:drawing>
          <wp:inline distT="0" distB="0" distL="0" distR="0">
            <wp:extent cx="5241925" cy="27247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5" w:name="_Toc15377206"/>
      <w:bookmarkStart w:id="26" w:name="_Toc113284425"/>
      <w:bookmarkStart w:id="27" w:name="_Toc15396604"/>
      <w:r>
        <w:rPr>
          <w:rFonts w:hint="eastAsia" w:ascii="黑体" w:hAnsi="黑体" w:eastAsia="黑体"/>
          <w:sz w:val="32"/>
          <w:szCs w:val="32"/>
        </w:rPr>
        <w:t>收</w:t>
      </w:r>
      <w:r>
        <w:rPr>
          <w:rStyle w:val="25"/>
          <w:rFonts w:hint="eastAsia" w:ascii="黑体" w:hAnsi="黑体" w:eastAsia="黑体"/>
          <w:b w:val="0"/>
        </w:rPr>
        <w:t>入决算情况说明</w:t>
      </w:r>
      <w:bookmarkEnd w:id="25"/>
      <w:bookmarkEnd w:id="26"/>
      <w:bookmarkEnd w:id="27"/>
    </w:p>
    <w:p>
      <w:pPr>
        <w:spacing w:line="600" w:lineRule="exact"/>
        <w:ind w:firstLine="640" w:firstLineChars="200"/>
        <w:rPr>
          <w:rFonts w:eastAsia="仿宋_GB2312"/>
          <w:bCs/>
          <w:sz w:val="32"/>
          <w:szCs w:val="32"/>
        </w:rPr>
      </w:pPr>
      <w:r>
        <w:rPr>
          <w:rFonts w:eastAsia="仿宋_GB2312"/>
          <w:bCs/>
          <w:sz w:val="32"/>
          <w:szCs w:val="32"/>
        </w:rPr>
        <w:t>20</w:t>
      </w:r>
      <w:r>
        <w:rPr>
          <w:rFonts w:hint="eastAsia" w:eastAsia="仿宋_GB2312"/>
          <w:bCs/>
          <w:sz w:val="32"/>
          <w:szCs w:val="32"/>
        </w:rPr>
        <w:t>21年本年收入合计1303.75万元，其中：一般公共预算财政拨款收入1303.75万元，占100</w:t>
      </w:r>
      <w:r>
        <w:rPr>
          <w:rFonts w:eastAsia="仿宋_GB2312"/>
          <w:bCs/>
          <w:sz w:val="32"/>
          <w:szCs w:val="32"/>
        </w:rPr>
        <w:t>%</w:t>
      </w:r>
      <w:r>
        <w:rPr>
          <w:rFonts w:hint="eastAsia" w:eastAsia="仿宋_GB2312"/>
          <w:bCs/>
          <w:sz w:val="32"/>
          <w:szCs w:val="32"/>
        </w:rPr>
        <w:t>。</w:t>
      </w:r>
    </w:p>
    <w:p>
      <w:pPr>
        <w:pStyle w:val="2"/>
        <w:spacing w:before="93"/>
      </w:pPr>
      <w:r>
        <w:drawing>
          <wp:inline distT="0" distB="0" distL="0" distR="0">
            <wp:extent cx="5276850" cy="259778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bookmarkStart w:id="30" w:name="_Toc113284426"/>
      <w:r>
        <w:rPr>
          <w:rFonts w:hint="eastAsia" w:ascii="黑体" w:hAnsi="黑体" w:eastAsia="黑体"/>
          <w:sz w:val="32"/>
          <w:szCs w:val="32"/>
        </w:rPr>
        <w:t>支</w:t>
      </w:r>
      <w:r>
        <w:rPr>
          <w:rStyle w:val="25"/>
          <w:rFonts w:hint="eastAsia" w:ascii="黑体" w:hAnsi="黑体" w:eastAsia="黑体"/>
          <w:b w:val="0"/>
        </w:rPr>
        <w:t>出决算情况说明</w:t>
      </w:r>
      <w:bookmarkEnd w:id="28"/>
      <w:bookmarkEnd w:id="29"/>
      <w:bookmarkEnd w:id="30"/>
    </w:p>
    <w:p>
      <w:pPr>
        <w:spacing w:line="600" w:lineRule="exact"/>
        <w:ind w:firstLine="640" w:firstLineChars="200"/>
        <w:rPr>
          <w:rFonts w:eastAsia="仿宋_GB2312"/>
          <w:bCs/>
          <w:sz w:val="32"/>
          <w:szCs w:val="32"/>
        </w:rPr>
      </w:pPr>
      <w:r>
        <w:rPr>
          <w:rFonts w:eastAsia="仿宋_GB2312"/>
          <w:bCs/>
          <w:sz w:val="32"/>
          <w:szCs w:val="32"/>
        </w:rPr>
        <w:t>20</w:t>
      </w:r>
      <w:r>
        <w:rPr>
          <w:rFonts w:hint="eastAsia" w:eastAsia="仿宋_GB2312"/>
          <w:bCs/>
          <w:sz w:val="32"/>
          <w:szCs w:val="32"/>
        </w:rPr>
        <w:t>21年本年支出合计1232.49万元，其中：基本支出932.32万元，占75.65</w:t>
      </w:r>
      <w:r>
        <w:rPr>
          <w:rFonts w:eastAsia="仿宋_GB2312"/>
          <w:bCs/>
          <w:sz w:val="32"/>
          <w:szCs w:val="32"/>
        </w:rPr>
        <w:t>%</w:t>
      </w:r>
      <w:r>
        <w:rPr>
          <w:rFonts w:hint="eastAsia" w:eastAsia="仿宋_GB2312"/>
          <w:bCs/>
          <w:sz w:val="32"/>
          <w:szCs w:val="32"/>
        </w:rPr>
        <w:t>；项目支出300.17万元，占24.35</w:t>
      </w:r>
      <w:r>
        <w:rPr>
          <w:rFonts w:eastAsia="仿宋_GB2312"/>
          <w:bCs/>
          <w:sz w:val="32"/>
          <w:szCs w:val="32"/>
        </w:rPr>
        <w:t>%</w:t>
      </w:r>
      <w:r>
        <w:rPr>
          <w:rFonts w:hint="eastAsia" w:eastAsia="仿宋_GB2312"/>
          <w:bCs/>
          <w:sz w:val="32"/>
          <w:szCs w:val="32"/>
        </w:rPr>
        <w:t>。</w:t>
      </w:r>
    </w:p>
    <w:p>
      <w:pPr>
        <w:pStyle w:val="2"/>
        <w:spacing w:before="93"/>
      </w:pPr>
      <w:r>
        <w:drawing>
          <wp:inline distT="0" distB="0" distL="0" distR="0">
            <wp:extent cx="5239385" cy="290957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31" w:name="_Toc15377208"/>
      <w:bookmarkStart w:id="32" w:name="_Toc15396606"/>
      <w:bookmarkStart w:id="33" w:name="_Toc113284427"/>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1"/>
      <w:bookmarkEnd w:id="32"/>
      <w:bookmarkEnd w:id="33"/>
    </w:p>
    <w:p>
      <w:pPr>
        <w:spacing w:line="600" w:lineRule="exact"/>
        <w:ind w:firstLine="640" w:firstLineChars="200"/>
        <w:rPr>
          <w:rFonts w:eastAsia="仿宋_GB2312"/>
          <w:bCs/>
          <w:sz w:val="32"/>
          <w:szCs w:val="32"/>
        </w:rPr>
      </w:pPr>
      <w:r>
        <w:rPr>
          <w:rFonts w:eastAsia="仿宋_GB2312"/>
          <w:bCs/>
          <w:sz w:val="32"/>
          <w:szCs w:val="32"/>
        </w:rPr>
        <w:t>20</w:t>
      </w:r>
      <w:r>
        <w:rPr>
          <w:rFonts w:hint="eastAsia" w:eastAsia="仿宋_GB2312"/>
          <w:bCs/>
          <w:sz w:val="32"/>
          <w:szCs w:val="32"/>
        </w:rPr>
        <w:t>21年财政拨款收、支总计</w:t>
      </w:r>
      <w:r>
        <w:rPr>
          <w:rFonts w:hint="eastAsia" w:eastAsia="仿宋_GB2312"/>
          <w:bCs/>
          <w:color w:val="000000" w:themeColor="text1"/>
          <w:sz w:val="32"/>
          <w:szCs w:val="32"/>
        </w:rPr>
        <w:t>1308.31万元。与</w:t>
      </w:r>
      <w:r>
        <w:rPr>
          <w:rFonts w:eastAsia="仿宋_GB2312"/>
          <w:bCs/>
          <w:color w:val="000000" w:themeColor="text1"/>
          <w:sz w:val="32"/>
          <w:szCs w:val="32"/>
        </w:rPr>
        <w:t>20</w:t>
      </w:r>
      <w:r>
        <w:rPr>
          <w:rFonts w:hint="eastAsia" w:eastAsia="仿宋_GB2312"/>
          <w:bCs/>
          <w:color w:val="000000" w:themeColor="text1"/>
          <w:sz w:val="32"/>
          <w:szCs w:val="32"/>
        </w:rPr>
        <w:t>20年相比，财政拨款收、支总计各增加324.31万元，增长32.96</w:t>
      </w:r>
      <w:r>
        <w:rPr>
          <w:rFonts w:eastAsia="仿宋_GB2312"/>
          <w:bCs/>
          <w:color w:val="000000" w:themeColor="text1"/>
          <w:sz w:val="32"/>
          <w:szCs w:val="32"/>
        </w:rPr>
        <w:t>%</w:t>
      </w:r>
      <w:r>
        <w:rPr>
          <w:rFonts w:hint="eastAsia" w:eastAsia="仿宋_GB2312"/>
          <w:bCs/>
          <w:color w:val="000000" w:themeColor="text1"/>
          <w:sz w:val="32"/>
          <w:szCs w:val="32"/>
        </w:rPr>
        <w:t>。</w:t>
      </w:r>
      <w:r>
        <w:rPr>
          <w:rFonts w:hint="eastAsia" w:eastAsia="仿宋_GB2312"/>
          <w:bCs/>
          <w:sz w:val="32"/>
          <w:szCs w:val="32"/>
        </w:rPr>
        <w:t>主要变动原因是人员经费增加和省级预算内基本建设资金新增。</w:t>
      </w:r>
    </w:p>
    <w:p>
      <w:pPr>
        <w:pStyle w:val="2"/>
        <w:spacing w:before="93"/>
      </w:pPr>
      <w:r>
        <w:drawing>
          <wp:inline distT="0" distB="0" distL="0" distR="0">
            <wp:extent cx="5200650" cy="2616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5"/>
          <w:rFonts w:ascii="黑体" w:hAnsi="黑体" w:eastAsia="黑体"/>
          <w:b w:val="0"/>
        </w:rPr>
      </w:pPr>
      <w:bookmarkStart w:id="34" w:name="_Toc15377209"/>
      <w:bookmarkStart w:id="35" w:name="_Toc113284428"/>
      <w:bookmarkStart w:id="36"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4"/>
      <w:bookmarkEnd w:id="35"/>
      <w:bookmarkEnd w:id="36"/>
    </w:p>
    <w:p>
      <w:pPr>
        <w:spacing w:line="600" w:lineRule="exact"/>
        <w:ind w:firstLine="640" w:firstLineChars="200"/>
        <w:outlineLvl w:val="2"/>
        <w:rPr>
          <w:rFonts w:ascii="楷体" w:hAnsi="楷体" w:eastAsia="楷体" w:cs="楷体"/>
          <w:bCs/>
          <w:sz w:val="32"/>
          <w:szCs w:val="32"/>
        </w:rPr>
      </w:pPr>
      <w:bookmarkStart w:id="37" w:name="_Toc113284429"/>
      <w:bookmarkStart w:id="38" w:name="_Toc15377210"/>
      <w:r>
        <w:rPr>
          <w:rFonts w:hint="eastAsia" w:ascii="楷体" w:hAnsi="楷体" w:eastAsia="楷体" w:cs="楷体"/>
          <w:bCs/>
          <w:sz w:val="32"/>
          <w:szCs w:val="32"/>
        </w:rPr>
        <w:t>（一）一般公共预算财政拨款支出决算总体情况</w:t>
      </w:r>
      <w:bookmarkEnd w:id="37"/>
      <w:bookmarkEnd w:id="38"/>
    </w:p>
    <w:p>
      <w:pPr>
        <w:spacing w:line="600" w:lineRule="exact"/>
        <w:ind w:firstLine="640" w:firstLineChars="200"/>
        <w:rPr>
          <w:rFonts w:ascii="仿宋" w:hAnsi="仿宋" w:eastAsia="仿宋"/>
          <w:sz w:val="32"/>
          <w:szCs w:val="32"/>
        </w:rPr>
      </w:pPr>
      <w:r>
        <w:rPr>
          <w:rFonts w:eastAsia="仿宋_GB2312"/>
          <w:bCs/>
          <w:sz w:val="32"/>
          <w:szCs w:val="32"/>
        </w:rPr>
        <w:t>20</w:t>
      </w:r>
      <w:r>
        <w:rPr>
          <w:rFonts w:hint="eastAsia" w:eastAsia="仿宋_GB2312"/>
          <w:bCs/>
          <w:sz w:val="32"/>
          <w:szCs w:val="32"/>
        </w:rPr>
        <w:t>21年一般公共预算财政拨款支出1232.49万元，占本年支出合计的100</w:t>
      </w:r>
      <w:r>
        <w:rPr>
          <w:rFonts w:eastAsia="仿宋_GB2312"/>
          <w:bCs/>
          <w:sz w:val="32"/>
          <w:szCs w:val="32"/>
        </w:rPr>
        <w:t>%</w:t>
      </w:r>
      <w:r>
        <w:rPr>
          <w:rFonts w:hint="eastAsia" w:eastAsia="仿宋_GB2312"/>
          <w:bCs/>
          <w:sz w:val="32"/>
          <w:szCs w:val="32"/>
        </w:rPr>
        <w:t>。与</w:t>
      </w:r>
      <w:r>
        <w:rPr>
          <w:rFonts w:eastAsia="仿宋_GB2312"/>
          <w:bCs/>
          <w:sz w:val="32"/>
          <w:szCs w:val="32"/>
        </w:rPr>
        <w:t>20</w:t>
      </w:r>
      <w:r>
        <w:rPr>
          <w:rFonts w:hint="eastAsia" w:eastAsia="仿宋_GB2312"/>
          <w:bCs/>
          <w:sz w:val="32"/>
          <w:szCs w:val="32"/>
        </w:rPr>
        <w:t>20年相比，一般公共预算财政拨款支出增加377.91万元，增长44.22</w:t>
      </w:r>
      <w:r>
        <w:rPr>
          <w:rFonts w:eastAsia="仿宋_GB2312"/>
          <w:bCs/>
          <w:sz w:val="32"/>
          <w:szCs w:val="32"/>
        </w:rPr>
        <w:t>%</w:t>
      </w:r>
      <w:r>
        <w:rPr>
          <w:rFonts w:hint="eastAsia" w:eastAsia="仿宋_GB2312"/>
          <w:bCs/>
          <w:sz w:val="32"/>
          <w:szCs w:val="32"/>
        </w:rPr>
        <w:t>。主要变动原因是一是增加了人员经费的开支，二是增加了办公楼维修维护专项支出和办公设备购置开支，三是增加了农民工保障工作经费和招商引资业务经费等开支。</w:t>
      </w:r>
    </w:p>
    <w:p>
      <w:pPr>
        <w:pStyle w:val="2"/>
        <w:spacing w:before="93"/>
      </w:pPr>
      <w:r>
        <w:drawing>
          <wp:inline distT="0" distB="0" distL="0" distR="0">
            <wp:extent cx="520065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2"/>
        <w:rPr>
          <w:rFonts w:ascii="楷体" w:hAnsi="楷体" w:eastAsia="楷体" w:cs="楷体"/>
          <w:bCs/>
          <w:sz w:val="32"/>
          <w:szCs w:val="32"/>
        </w:rPr>
      </w:pPr>
      <w:bookmarkStart w:id="39" w:name="_Toc15377211"/>
      <w:bookmarkStart w:id="40" w:name="_Toc113284430"/>
      <w:r>
        <w:rPr>
          <w:rFonts w:hint="eastAsia" w:ascii="楷体" w:hAnsi="楷体" w:eastAsia="楷体" w:cs="楷体"/>
          <w:bCs/>
          <w:sz w:val="32"/>
          <w:szCs w:val="32"/>
        </w:rPr>
        <w:t>（二）一般公共预算财政拨款支出决算结构情况</w:t>
      </w:r>
      <w:bookmarkEnd w:id="39"/>
      <w:bookmarkEnd w:id="40"/>
    </w:p>
    <w:p>
      <w:pPr>
        <w:spacing w:line="600" w:lineRule="exact"/>
        <w:ind w:firstLine="640"/>
        <w:rPr>
          <w:rFonts w:eastAsia="仿宋_GB2312"/>
          <w:b/>
          <w:sz w:val="32"/>
          <w:szCs w:val="32"/>
        </w:rPr>
      </w:pPr>
      <w:r>
        <w:rPr>
          <w:rFonts w:eastAsia="仿宋_GB2312"/>
          <w:sz w:val="32"/>
          <w:szCs w:val="32"/>
        </w:rPr>
        <w:t>2021年一般公共预算财政拨款支出1232.49万元，主要用于以下方面:</w:t>
      </w:r>
      <w:r>
        <w:rPr>
          <w:rFonts w:eastAsia="仿宋_GB2312"/>
          <w:b/>
          <w:sz w:val="32"/>
          <w:szCs w:val="32"/>
        </w:rPr>
        <w:t>一般公共服务（类）</w:t>
      </w:r>
      <w:r>
        <w:rPr>
          <w:rFonts w:eastAsia="仿宋_GB2312"/>
          <w:sz w:val="32"/>
          <w:szCs w:val="32"/>
        </w:rPr>
        <w:t>支出943.04万元，占76.52%；</w:t>
      </w:r>
      <w:r>
        <w:rPr>
          <w:rFonts w:eastAsia="仿宋_GB2312"/>
          <w:b/>
          <w:sz w:val="32"/>
          <w:szCs w:val="32"/>
        </w:rPr>
        <w:t>教育支出（类）</w:t>
      </w:r>
      <w:r>
        <w:rPr>
          <w:rFonts w:eastAsia="仿宋_GB2312"/>
          <w:sz w:val="32"/>
          <w:szCs w:val="32"/>
        </w:rPr>
        <w:t>4万元，占0.32%；</w:t>
      </w:r>
      <w:r>
        <w:rPr>
          <w:rFonts w:eastAsia="仿宋_GB2312"/>
          <w:b/>
          <w:sz w:val="32"/>
          <w:szCs w:val="32"/>
        </w:rPr>
        <w:t>社会保障和就业（类）</w:t>
      </w:r>
      <w:r>
        <w:rPr>
          <w:rFonts w:eastAsia="仿宋_GB2312"/>
          <w:sz w:val="32"/>
          <w:szCs w:val="32"/>
        </w:rPr>
        <w:t>支出194.49万元，占15.78%；</w:t>
      </w:r>
      <w:r>
        <w:rPr>
          <w:rFonts w:eastAsia="仿宋_GB2312"/>
          <w:b/>
          <w:bCs/>
          <w:sz w:val="32"/>
          <w:szCs w:val="32"/>
        </w:rPr>
        <w:t>卫生健康支出</w:t>
      </w:r>
      <w:r>
        <w:rPr>
          <w:rFonts w:eastAsia="仿宋_GB2312"/>
          <w:sz w:val="32"/>
          <w:szCs w:val="32"/>
        </w:rPr>
        <w:t>41.55万元，占3.37%；住房保障支出49.41万元，占4.01%。</w:t>
      </w:r>
    </w:p>
    <w:p>
      <w:pPr>
        <w:pStyle w:val="2"/>
        <w:spacing w:before="93"/>
      </w:pPr>
      <w:r>
        <w:drawing>
          <wp:inline distT="0" distB="0" distL="0" distR="0">
            <wp:extent cx="5215890" cy="27908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2"/>
        <w:rPr>
          <w:rFonts w:ascii="楷体" w:hAnsi="楷体" w:eastAsia="楷体" w:cs="楷体"/>
          <w:bCs/>
          <w:sz w:val="32"/>
          <w:szCs w:val="32"/>
        </w:rPr>
      </w:pPr>
      <w:bookmarkStart w:id="41" w:name="_Toc15377212"/>
      <w:bookmarkStart w:id="42" w:name="_Toc113284431"/>
      <w:r>
        <w:rPr>
          <w:rFonts w:hint="eastAsia" w:ascii="楷体" w:hAnsi="楷体" w:eastAsia="楷体" w:cs="楷体"/>
          <w:bCs/>
          <w:sz w:val="32"/>
          <w:szCs w:val="32"/>
        </w:rPr>
        <w:t>（三）一般公共预算财政拨款支出决算具体情况</w:t>
      </w:r>
      <w:bookmarkEnd w:id="41"/>
      <w:bookmarkEnd w:id="42"/>
    </w:p>
    <w:p>
      <w:pPr>
        <w:ind w:firstLine="420"/>
        <w:rPr>
          <w:rFonts w:eastAsia="仿宋_GB2312"/>
          <w:sz w:val="32"/>
          <w:szCs w:val="32"/>
        </w:rPr>
      </w:pPr>
      <w:bookmarkStart w:id="43" w:name="_Toc15377213"/>
      <w:bookmarkStart w:id="44" w:name="_Toc15378460"/>
      <w:bookmarkStart w:id="45" w:name="_Toc15377444"/>
      <w:r>
        <w:rPr>
          <w:rFonts w:eastAsia="仿宋_GB2312"/>
          <w:b/>
          <w:sz w:val="32"/>
          <w:szCs w:val="32"/>
        </w:rPr>
        <w:t>2021年一般公共预算支出决算数为1232.49</w:t>
      </w:r>
      <w:r>
        <w:rPr>
          <w:rFonts w:hint="eastAsia" w:eastAsia="仿宋_GB2312"/>
          <w:b/>
          <w:sz w:val="32"/>
          <w:szCs w:val="32"/>
          <w:lang w:eastAsia="zh-CN"/>
        </w:rPr>
        <w:t>万元</w:t>
      </w:r>
      <w:r>
        <w:rPr>
          <w:rFonts w:eastAsia="仿宋_GB2312"/>
          <w:sz w:val="32"/>
          <w:szCs w:val="32"/>
        </w:rPr>
        <w:t>，</w:t>
      </w:r>
      <w:r>
        <w:rPr>
          <w:rStyle w:val="14"/>
          <w:rFonts w:eastAsia="仿宋_GB2312"/>
          <w:bCs/>
          <w:sz w:val="32"/>
          <w:szCs w:val="32"/>
        </w:rPr>
        <w:t>完成预算94.53%。其中：</w:t>
      </w:r>
      <w:bookmarkEnd w:id="43"/>
      <w:bookmarkEnd w:id="44"/>
      <w:bookmarkEnd w:id="45"/>
    </w:p>
    <w:p>
      <w:pPr>
        <w:spacing w:line="600" w:lineRule="exact"/>
        <w:ind w:firstLine="642" w:firstLineChars="200"/>
        <w:rPr>
          <w:rFonts w:eastAsia="仿宋_GB2312"/>
          <w:sz w:val="32"/>
          <w:szCs w:val="32"/>
        </w:rPr>
      </w:pPr>
      <w:r>
        <w:rPr>
          <w:rStyle w:val="14"/>
          <w:rFonts w:eastAsia="仿宋_GB2312"/>
          <w:bCs/>
          <w:sz w:val="32"/>
          <w:szCs w:val="32"/>
        </w:rPr>
        <w:t>1.一般公共服务（类）商贸事务（款）行政运行（项）:</w:t>
      </w:r>
      <w:r>
        <w:rPr>
          <w:rFonts w:eastAsia="仿宋_GB2312"/>
          <w:sz w:val="32"/>
          <w:szCs w:val="32"/>
        </w:rPr>
        <w:t>支出决算为568.25万元，完成预算89.17%，决算数小于预算数的主要原因是厉行节约压减一般性事务支出。</w:t>
      </w:r>
    </w:p>
    <w:p>
      <w:pPr>
        <w:spacing w:line="600" w:lineRule="exact"/>
        <w:ind w:firstLine="642" w:firstLineChars="200"/>
        <w:rPr>
          <w:rFonts w:eastAsia="仿宋_GB2312"/>
          <w:b/>
          <w:sz w:val="32"/>
          <w:szCs w:val="32"/>
        </w:rPr>
      </w:pPr>
      <w:r>
        <w:rPr>
          <w:rStyle w:val="14"/>
          <w:rFonts w:eastAsia="仿宋_GB2312"/>
          <w:bCs/>
          <w:sz w:val="32"/>
          <w:szCs w:val="32"/>
        </w:rPr>
        <w:t>2.教育（类）教育支出（款）培训支出（项）:</w:t>
      </w:r>
      <w:r>
        <w:rPr>
          <w:rStyle w:val="14"/>
          <w:rFonts w:eastAsia="仿宋_GB2312"/>
          <w:b w:val="0"/>
          <w:bCs/>
          <w:sz w:val="32"/>
          <w:szCs w:val="32"/>
        </w:rPr>
        <w:t>支出决算为4万元，完成预算100%，决算数等于预算数。</w:t>
      </w:r>
    </w:p>
    <w:p>
      <w:pPr>
        <w:spacing w:line="600" w:lineRule="exact"/>
        <w:ind w:firstLine="642" w:firstLineChars="200"/>
        <w:rPr>
          <w:rFonts w:eastAsia="仿宋_GB2312"/>
          <w:b/>
          <w:sz w:val="32"/>
          <w:szCs w:val="32"/>
        </w:rPr>
      </w:pPr>
      <w:r>
        <w:rPr>
          <w:rStyle w:val="14"/>
          <w:rFonts w:eastAsia="仿宋_GB2312"/>
          <w:bCs/>
          <w:sz w:val="32"/>
          <w:szCs w:val="32"/>
        </w:rPr>
        <w:t>3.一般公共服务（类）商贸事务（款）一般行政管理事务（项）:</w:t>
      </w:r>
      <w:r>
        <w:rPr>
          <w:rStyle w:val="14"/>
          <w:rFonts w:eastAsia="仿宋_GB2312"/>
          <w:b w:val="0"/>
          <w:bCs/>
          <w:sz w:val="32"/>
          <w:szCs w:val="32"/>
        </w:rPr>
        <w:t>支出决算为279.17万元，完成预算99.2%，决算数小于预算数的主要原因是</w:t>
      </w:r>
      <w:r>
        <w:rPr>
          <w:rFonts w:eastAsia="仿宋_GB2312"/>
          <w:color w:val="000000"/>
          <w:sz w:val="32"/>
          <w:szCs w:val="32"/>
        </w:rPr>
        <w:t>厉行节约压减一般性事务支出</w:t>
      </w:r>
      <w:r>
        <w:rPr>
          <w:rStyle w:val="14"/>
          <w:rFonts w:eastAsia="仿宋_GB2312"/>
          <w:b w:val="0"/>
          <w:bCs/>
          <w:sz w:val="32"/>
          <w:szCs w:val="32"/>
        </w:rPr>
        <w:t>。</w:t>
      </w:r>
    </w:p>
    <w:p>
      <w:pPr>
        <w:spacing w:line="600" w:lineRule="exact"/>
        <w:ind w:firstLine="642" w:firstLineChars="200"/>
        <w:rPr>
          <w:rStyle w:val="14"/>
          <w:rFonts w:eastAsia="仿宋_GB2312"/>
          <w:b w:val="0"/>
          <w:bCs/>
          <w:sz w:val="32"/>
          <w:szCs w:val="32"/>
        </w:rPr>
      </w:pPr>
      <w:r>
        <w:rPr>
          <w:rStyle w:val="14"/>
          <w:rFonts w:eastAsia="仿宋_GB2312"/>
          <w:bCs/>
          <w:sz w:val="32"/>
          <w:szCs w:val="32"/>
        </w:rPr>
        <w:t>4.一般公共服务（类）商贸事务（款）招商引资（项）:</w:t>
      </w:r>
      <w:r>
        <w:rPr>
          <w:rStyle w:val="14"/>
          <w:rFonts w:eastAsia="仿宋_GB2312"/>
          <w:b w:val="0"/>
          <w:bCs/>
          <w:sz w:val="32"/>
          <w:szCs w:val="32"/>
        </w:rPr>
        <w:t>支出决算为21万元，完成预算100%，决算数等于预算数。</w:t>
      </w:r>
    </w:p>
    <w:p>
      <w:pPr>
        <w:pStyle w:val="2"/>
        <w:spacing w:beforeLines="0" w:line="600" w:lineRule="exact"/>
        <w:ind w:firstLine="600"/>
        <w:rPr>
          <w:rStyle w:val="14"/>
          <w:rFonts w:ascii="Times New Roman"/>
          <w:b w:val="0"/>
          <w:bCs/>
          <w:sz w:val="32"/>
          <w:szCs w:val="32"/>
        </w:rPr>
      </w:pPr>
      <w:r>
        <w:rPr>
          <w:rFonts w:ascii="Times New Roman"/>
        </w:rPr>
        <w:t>5、</w:t>
      </w:r>
      <w:r>
        <w:rPr>
          <w:rStyle w:val="14"/>
          <w:rFonts w:ascii="Times New Roman"/>
          <w:bCs/>
          <w:sz w:val="32"/>
          <w:szCs w:val="32"/>
        </w:rPr>
        <w:t>一般公共服务（类）政府办公厅及相关机构事务（款）行政运行（项）:</w:t>
      </w:r>
      <w:r>
        <w:rPr>
          <w:rStyle w:val="14"/>
          <w:rFonts w:ascii="Times New Roman"/>
          <w:b w:val="0"/>
          <w:bCs/>
          <w:sz w:val="32"/>
          <w:szCs w:val="32"/>
        </w:rPr>
        <w:t>支出决算为74.62万元，完成预算100%，决算数等于预算数。</w:t>
      </w:r>
    </w:p>
    <w:p>
      <w:pPr>
        <w:pStyle w:val="2"/>
        <w:spacing w:beforeLines="0" w:line="600" w:lineRule="exact"/>
        <w:ind w:firstLine="600"/>
        <w:rPr>
          <w:rStyle w:val="14"/>
          <w:rFonts w:ascii="Times New Roman"/>
          <w:b w:val="0"/>
          <w:bCs/>
          <w:sz w:val="32"/>
          <w:szCs w:val="32"/>
        </w:rPr>
      </w:pPr>
      <w:r>
        <w:rPr>
          <w:rStyle w:val="14"/>
          <w:rFonts w:ascii="Times New Roman"/>
          <w:bCs/>
          <w:sz w:val="32"/>
          <w:szCs w:val="32"/>
        </w:rPr>
        <w:t>6.社会保障和就业支出（类）行政事业单位养老支出（款）行政单位离退休（项）:</w:t>
      </w:r>
      <w:r>
        <w:rPr>
          <w:rStyle w:val="14"/>
          <w:rFonts w:ascii="Times New Roman"/>
          <w:b w:val="0"/>
          <w:bCs/>
          <w:sz w:val="32"/>
          <w:szCs w:val="32"/>
        </w:rPr>
        <w:t>支出决算为96.04万元，完成预算100%，决算数等于预算数。</w:t>
      </w:r>
    </w:p>
    <w:p>
      <w:pPr>
        <w:spacing w:line="600" w:lineRule="exact"/>
        <w:ind w:firstLine="642" w:firstLineChars="200"/>
        <w:rPr>
          <w:rStyle w:val="14"/>
          <w:rFonts w:eastAsia="仿宋_GB2312"/>
          <w:b w:val="0"/>
          <w:bCs/>
          <w:sz w:val="32"/>
          <w:szCs w:val="32"/>
        </w:rPr>
      </w:pPr>
      <w:r>
        <w:rPr>
          <w:rStyle w:val="14"/>
          <w:rFonts w:eastAsia="仿宋_GB2312"/>
          <w:bCs/>
          <w:sz w:val="32"/>
          <w:szCs w:val="32"/>
        </w:rPr>
        <w:t>7.社会保障和就业支出（类）行政事业单位养老支出（款）机关事业单位基本养老保险缴费支出（项）:</w:t>
      </w:r>
      <w:r>
        <w:rPr>
          <w:rStyle w:val="14"/>
          <w:rFonts w:eastAsia="仿宋_GB2312"/>
          <w:b w:val="0"/>
          <w:bCs/>
          <w:sz w:val="32"/>
          <w:szCs w:val="32"/>
        </w:rPr>
        <w:t>支出决算为58.48万元，完成预算100%，决算数等于预算数。</w:t>
      </w:r>
    </w:p>
    <w:p>
      <w:pPr>
        <w:spacing w:line="600" w:lineRule="exact"/>
        <w:ind w:firstLine="642" w:firstLineChars="200"/>
        <w:rPr>
          <w:rStyle w:val="14"/>
          <w:rFonts w:eastAsia="仿宋_GB2312"/>
          <w:b w:val="0"/>
          <w:bCs/>
          <w:sz w:val="32"/>
          <w:szCs w:val="32"/>
        </w:rPr>
      </w:pPr>
      <w:r>
        <w:rPr>
          <w:rStyle w:val="14"/>
          <w:rFonts w:eastAsia="仿宋_GB2312"/>
          <w:bCs/>
          <w:sz w:val="32"/>
          <w:szCs w:val="32"/>
        </w:rPr>
        <w:t>8.社会保障和就业支出（类）抚恤（款）死亡抚恤（项）:</w:t>
      </w:r>
      <w:r>
        <w:rPr>
          <w:rStyle w:val="14"/>
          <w:rFonts w:eastAsia="仿宋_GB2312"/>
          <w:b w:val="0"/>
          <w:bCs/>
          <w:sz w:val="32"/>
          <w:szCs w:val="32"/>
        </w:rPr>
        <w:t>支出决算为39.97万元，完成预算99.9%，决算数小于预算数主要原因是形成少量结余。</w:t>
      </w:r>
    </w:p>
    <w:p>
      <w:pPr>
        <w:spacing w:line="600" w:lineRule="exact"/>
        <w:ind w:firstLine="642" w:firstLineChars="200"/>
        <w:rPr>
          <w:rStyle w:val="14"/>
          <w:rFonts w:eastAsia="仿宋_GB2312"/>
          <w:b w:val="0"/>
          <w:bCs/>
          <w:sz w:val="32"/>
          <w:szCs w:val="32"/>
        </w:rPr>
      </w:pPr>
      <w:r>
        <w:rPr>
          <w:rStyle w:val="14"/>
          <w:rFonts w:eastAsia="仿宋_GB2312"/>
          <w:bCs/>
          <w:sz w:val="32"/>
          <w:szCs w:val="32"/>
        </w:rPr>
        <w:t>9.</w:t>
      </w:r>
      <w:r>
        <w:rPr>
          <w:rFonts w:eastAsia="仿宋_GB2312"/>
          <w:b/>
          <w:bCs/>
          <w:sz w:val="32"/>
          <w:szCs w:val="32"/>
        </w:rPr>
        <w:t>卫生健康</w:t>
      </w:r>
      <w:r>
        <w:rPr>
          <w:rStyle w:val="14"/>
          <w:rFonts w:eastAsia="仿宋_GB2312"/>
          <w:bCs/>
          <w:sz w:val="32"/>
          <w:szCs w:val="32"/>
        </w:rPr>
        <w:t>（类）行政事业单位医疗（款）行政单位医疗（项）:</w:t>
      </w:r>
      <w:r>
        <w:rPr>
          <w:rStyle w:val="14"/>
          <w:rFonts w:eastAsia="仿宋_GB2312"/>
          <w:b w:val="0"/>
          <w:bCs/>
          <w:sz w:val="32"/>
          <w:szCs w:val="32"/>
        </w:rPr>
        <w:t>支出决算为34.37万元，完成预算100%，决算数等于预算数。</w:t>
      </w:r>
    </w:p>
    <w:p>
      <w:pPr>
        <w:spacing w:line="600" w:lineRule="exact"/>
        <w:ind w:firstLine="642" w:firstLineChars="200"/>
        <w:rPr>
          <w:rStyle w:val="14"/>
          <w:rFonts w:eastAsia="仿宋_GB2312"/>
          <w:b w:val="0"/>
          <w:bCs/>
          <w:sz w:val="32"/>
          <w:szCs w:val="32"/>
        </w:rPr>
      </w:pPr>
      <w:r>
        <w:rPr>
          <w:rStyle w:val="14"/>
          <w:rFonts w:eastAsia="仿宋_GB2312"/>
          <w:bCs/>
          <w:sz w:val="32"/>
          <w:szCs w:val="32"/>
        </w:rPr>
        <w:t>10.</w:t>
      </w:r>
      <w:r>
        <w:rPr>
          <w:rFonts w:eastAsia="仿宋_GB2312"/>
          <w:b/>
          <w:bCs/>
          <w:sz w:val="32"/>
          <w:szCs w:val="32"/>
        </w:rPr>
        <w:t>卫生健康</w:t>
      </w:r>
      <w:r>
        <w:rPr>
          <w:rStyle w:val="14"/>
          <w:rFonts w:eastAsia="仿宋_GB2312"/>
          <w:bCs/>
          <w:sz w:val="32"/>
          <w:szCs w:val="32"/>
        </w:rPr>
        <w:t>（类）行政事业单位医疗（款）公务员医疗补助（项）:</w:t>
      </w:r>
      <w:r>
        <w:rPr>
          <w:rStyle w:val="14"/>
          <w:rFonts w:eastAsia="仿宋_GB2312"/>
          <w:b w:val="0"/>
          <w:bCs/>
          <w:sz w:val="32"/>
          <w:szCs w:val="32"/>
        </w:rPr>
        <w:t>支出决算为7.18万元，完成预算100%，决算数等于预算数。</w:t>
      </w:r>
    </w:p>
    <w:p>
      <w:pPr>
        <w:spacing w:line="600" w:lineRule="exact"/>
        <w:ind w:firstLine="642" w:firstLineChars="200"/>
        <w:rPr>
          <w:rFonts w:eastAsia="仿宋_GB2312"/>
          <w:b/>
          <w:sz w:val="32"/>
          <w:szCs w:val="32"/>
        </w:rPr>
      </w:pPr>
      <w:r>
        <w:rPr>
          <w:rStyle w:val="14"/>
          <w:rFonts w:eastAsia="仿宋_GB2312"/>
          <w:bCs/>
          <w:sz w:val="32"/>
          <w:szCs w:val="32"/>
        </w:rPr>
        <w:t>11.</w:t>
      </w:r>
      <w:r>
        <w:rPr>
          <w:rFonts w:eastAsia="仿宋_GB2312"/>
          <w:b/>
          <w:bCs/>
          <w:sz w:val="32"/>
          <w:szCs w:val="32"/>
        </w:rPr>
        <w:t>住房保障</w:t>
      </w:r>
      <w:r>
        <w:rPr>
          <w:rStyle w:val="14"/>
          <w:rFonts w:eastAsia="仿宋_GB2312"/>
          <w:bCs/>
          <w:sz w:val="32"/>
          <w:szCs w:val="32"/>
        </w:rPr>
        <w:t>（类）住房改革支出（款）住房公积金（项）:</w:t>
      </w:r>
      <w:r>
        <w:rPr>
          <w:rStyle w:val="14"/>
          <w:rFonts w:eastAsia="仿宋_GB2312"/>
          <w:b w:val="0"/>
          <w:bCs/>
          <w:sz w:val="32"/>
          <w:szCs w:val="32"/>
        </w:rPr>
        <w:t>支出决算为49.41万元，完成预算100%，决算数等于预算数。</w:t>
      </w:r>
    </w:p>
    <w:p>
      <w:pPr>
        <w:tabs>
          <w:tab w:val="right" w:pos="8306"/>
        </w:tabs>
        <w:spacing w:line="600" w:lineRule="exact"/>
        <w:ind w:firstLine="640"/>
        <w:outlineLvl w:val="1"/>
        <w:rPr>
          <w:rStyle w:val="25"/>
        </w:rPr>
      </w:pPr>
      <w:bookmarkStart w:id="46" w:name="_Toc15396608"/>
      <w:bookmarkStart w:id="47" w:name="_Toc113284432"/>
      <w:bookmarkStart w:id="48"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6"/>
      <w:bookmarkEnd w:id="47"/>
      <w:bookmarkEnd w:id="48"/>
      <w:r>
        <w:rPr>
          <w:rStyle w:val="25"/>
          <w:rFonts w:ascii="黑体" w:hAnsi="黑体" w:eastAsia="黑体"/>
          <w:b w:val="0"/>
        </w:rPr>
        <w:tab/>
      </w:r>
    </w:p>
    <w:p>
      <w:pPr>
        <w:spacing w:line="600" w:lineRule="exact"/>
        <w:ind w:firstLine="645"/>
        <w:rPr>
          <w:rFonts w:eastAsia="仿宋_GB2312"/>
          <w:sz w:val="32"/>
          <w:szCs w:val="32"/>
        </w:rPr>
      </w:pPr>
      <w:r>
        <w:rPr>
          <w:rFonts w:eastAsia="仿宋_GB2312"/>
          <w:sz w:val="32"/>
          <w:szCs w:val="32"/>
        </w:rPr>
        <w:t>2021年一般公共预算财政拨款基本支出932.32万元，其中：</w:t>
      </w:r>
    </w:p>
    <w:p>
      <w:pPr>
        <w:spacing w:line="600" w:lineRule="exact"/>
        <w:ind w:firstLine="645"/>
        <w:rPr>
          <w:rFonts w:eastAsia="仿宋_GB2312"/>
          <w:sz w:val="32"/>
          <w:szCs w:val="32"/>
        </w:rPr>
      </w:pPr>
      <w:r>
        <w:rPr>
          <w:rFonts w:eastAsia="仿宋_GB2312"/>
          <w:sz w:val="32"/>
          <w:szCs w:val="32"/>
        </w:rPr>
        <w:t>人员经费706.43万元，主要包括：基本工资、津贴补贴、奖金、机关事业单位基本养老保险缴费、职工基本医疗保险缴费、公务员医疗补助缴费、其他工资福利支出、离休费、退休费、抚恤金、奖励金、住房公积金、其他对个人和家庭的补助支出等。</w:t>
      </w:r>
      <w:r>
        <w:rPr>
          <w:rFonts w:eastAsia="仿宋_GB2312"/>
          <w:sz w:val="32"/>
          <w:szCs w:val="32"/>
        </w:rPr>
        <w:br w:type="textWrapping"/>
      </w:r>
      <w:r>
        <w:rPr>
          <w:rFonts w:eastAsia="仿宋_GB2312"/>
          <w:sz w:val="32"/>
          <w:szCs w:val="32"/>
        </w:rPr>
        <w:t>　　公用经费225.89万元，主要包括：办公费、水费、电费、邮电费、物业管理费、差旅费、维修（护）费、租赁费、会议费、培训费、公务接待费、工会经费、福利费、公务用车运行维护费、其他交通费、其他商品和服务支出等。</w:t>
      </w:r>
    </w:p>
    <w:p>
      <w:pPr>
        <w:spacing w:line="600" w:lineRule="exact"/>
        <w:ind w:firstLine="640"/>
        <w:outlineLvl w:val="1"/>
        <w:rPr>
          <w:rStyle w:val="25"/>
          <w:rFonts w:ascii="黑体" w:hAnsi="黑体" w:eastAsia="黑体"/>
          <w:b w:val="0"/>
        </w:rPr>
      </w:pPr>
      <w:bookmarkStart w:id="49" w:name="_Toc15396609"/>
      <w:bookmarkStart w:id="50" w:name="_Toc113284433"/>
      <w:bookmarkStart w:id="51"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9"/>
      <w:bookmarkEnd w:id="50"/>
      <w:bookmarkEnd w:id="51"/>
    </w:p>
    <w:p>
      <w:pPr>
        <w:spacing w:line="600" w:lineRule="exact"/>
        <w:ind w:firstLine="640"/>
        <w:outlineLvl w:val="2"/>
        <w:rPr>
          <w:rFonts w:ascii="楷体" w:hAnsi="楷体" w:eastAsia="楷体" w:cs="楷体"/>
          <w:bCs/>
          <w:sz w:val="32"/>
          <w:szCs w:val="32"/>
        </w:rPr>
      </w:pPr>
      <w:bookmarkStart w:id="52" w:name="_Toc113284434"/>
      <w:bookmarkStart w:id="53" w:name="_Toc15377216"/>
      <w:r>
        <w:rPr>
          <w:rFonts w:hint="eastAsia" w:ascii="楷体" w:hAnsi="楷体" w:eastAsia="楷体" w:cs="楷体"/>
          <w:bCs/>
          <w:sz w:val="32"/>
          <w:szCs w:val="32"/>
        </w:rPr>
        <w:t>（一）“三公”经费财政拨款支出决算总体情况说明</w:t>
      </w:r>
      <w:bookmarkEnd w:id="52"/>
      <w:bookmarkEnd w:id="53"/>
    </w:p>
    <w:p>
      <w:pPr>
        <w:spacing w:line="600" w:lineRule="exact"/>
        <w:ind w:firstLine="645"/>
        <w:rPr>
          <w:rFonts w:eastAsia="仿宋_GB2312"/>
          <w:sz w:val="32"/>
          <w:szCs w:val="32"/>
        </w:rPr>
      </w:pPr>
      <w:r>
        <w:rPr>
          <w:rFonts w:eastAsia="仿宋_GB2312"/>
          <w:sz w:val="32"/>
          <w:szCs w:val="32"/>
        </w:rPr>
        <w:t>20</w:t>
      </w:r>
      <w:r>
        <w:rPr>
          <w:rFonts w:hint="eastAsia" w:eastAsia="仿宋_GB2312"/>
          <w:sz w:val="32"/>
          <w:szCs w:val="32"/>
        </w:rPr>
        <w:t>21年“三公”经费财政拨款支出决算为56.62万元，完成预算89.87</w:t>
      </w:r>
      <w:r>
        <w:rPr>
          <w:rFonts w:eastAsia="仿宋_GB2312"/>
          <w:sz w:val="32"/>
          <w:szCs w:val="32"/>
        </w:rPr>
        <w:t>%</w:t>
      </w:r>
      <w:r>
        <w:rPr>
          <w:rFonts w:hint="eastAsia" w:eastAsia="仿宋_GB2312"/>
          <w:sz w:val="32"/>
          <w:szCs w:val="32"/>
        </w:rPr>
        <w:t>，决算数小于预算数的主要原因是厉行节约大力压缩三公经费支出。</w:t>
      </w:r>
    </w:p>
    <w:p>
      <w:pPr>
        <w:spacing w:line="600" w:lineRule="exact"/>
        <w:ind w:firstLine="640"/>
        <w:outlineLvl w:val="2"/>
        <w:rPr>
          <w:rFonts w:ascii="楷体" w:hAnsi="楷体" w:eastAsia="楷体" w:cs="楷体"/>
          <w:bCs/>
          <w:sz w:val="32"/>
          <w:szCs w:val="32"/>
        </w:rPr>
      </w:pPr>
      <w:bookmarkStart w:id="54" w:name="_Toc15377217"/>
      <w:bookmarkStart w:id="55" w:name="_Toc113284435"/>
      <w:r>
        <w:rPr>
          <w:rFonts w:hint="eastAsia" w:ascii="楷体" w:hAnsi="楷体" w:eastAsia="楷体" w:cs="楷体"/>
          <w:bCs/>
          <w:sz w:val="32"/>
          <w:szCs w:val="32"/>
        </w:rPr>
        <w:t>（二）“三公”经费财政拨款支出决算具体情况说明</w:t>
      </w:r>
      <w:bookmarkEnd w:id="54"/>
      <w:bookmarkEnd w:id="55"/>
    </w:p>
    <w:p>
      <w:pPr>
        <w:spacing w:line="600" w:lineRule="exact"/>
        <w:ind w:firstLine="645"/>
        <w:rPr>
          <w:rFonts w:eastAsia="仿宋_GB2312"/>
          <w:sz w:val="32"/>
          <w:szCs w:val="32"/>
        </w:rPr>
      </w:pPr>
      <w:r>
        <w:rPr>
          <w:rFonts w:eastAsia="仿宋_GB2312"/>
          <w:sz w:val="32"/>
          <w:szCs w:val="32"/>
        </w:rPr>
        <w:t>20</w:t>
      </w:r>
      <w:r>
        <w:rPr>
          <w:rFonts w:hint="eastAsia" w:eastAsia="仿宋_GB2312"/>
          <w:sz w:val="32"/>
          <w:szCs w:val="32"/>
        </w:rPr>
        <w:t>21年“三公”经费财政拨款支出决算中，因公出国（境）费支出决算0万元，占0</w:t>
      </w:r>
      <w:r>
        <w:rPr>
          <w:rFonts w:eastAsia="仿宋_GB2312"/>
          <w:sz w:val="32"/>
          <w:szCs w:val="32"/>
        </w:rPr>
        <w:t>%</w:t>
      </w:r>
      <w:r>
        <w:rPr>
          <w:rFonts w:hint="eastAsia" w:eastAsia="仿宋_GB2312"/>
          <w:sz w:val="32"/>
          <w:szCs w:val="32"/>
        </w:rPr>
        <w:t>；公务用车购置及运行维护费支出决算17.25万元，占30.47</w:t>
      </w:r>
      <w:r>
        <w:rPr>
          <w:rFonts w:eastAsia="仿宋_GB2312"/>
          <w:sz w:val="32"/>
          <w:szCs w:val="32"/>
        </w:rPr>
        <w:t>%</w:t>
      </w:r>
      <w:r>
        <w:rPr>
          <w:rFonts w:hint="eastAsia" w:eastAsia="仿宋_GB2312"/>
          <w:sz w:val="32"/>
          <w:szCs w:val="32"/>
        </w:rPr>
        <w:t>；公务接待费支出决算39.37万元，占69.53</w:t>
      </w:r>
      <w:r>
        <w:rPr>
          <w:rFonts w:eastAsia="仿宋_GB2312"/>
          <w:sz w:val="32"/>
          <w:szCs w:val="32"/>
        </w:rPr>
        <w:t>%</w:t>
      </w:r>
      <w:r>
        <w:rPr>
          <w:rFonts w:hint="eastAsia" w:eastAsia="仿宋_GB2312"/>
          <w:sz w:val="32"/>
          <w:szCs w:val="32"/>
        </w:rPr>
        <w:t>。具体情况如下：</w:t>
      </w:r>
    </w:p>
    <w:p>
      <w:pPr>
        <w:pStyle w:val="2"/>
        <w:spacing w:before="93"/>
      </w:pPr>
      <w:r>
        <w:drawing>
          <wp:inline distT="0" distB="0" distL="0" distR="0">
            <wp:extent cx="5274310" cy="221805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14"/>
          <w:rFonts w:eastAsia="仿宋_GB2312"/>
          <w:b w:val="0"/>
          <w:bCs/>
          <w:sz w:val="32"/>
          <w:szCs w:val="32"/>
        </w:rPr>
        <w:t>完成预算0%。</w:t>
      </w:r>
      <w:r>
        <w:rPr>
          <w:rFonts w:eastAsia="仿宋_GB2312"/>
          <w:sz w:val="32"/>
          <w:szCs w:val="32"/>
        </w:rPr>
        <w:t>全年安排因公出国（境）团组0次，出国（境）0人。因公出国（境）支出决算与2020年持平。</w:t>
      </w:r>
    </w:p>
    <w:p>
      <w:pPr>
        <w:spacing w:line="600" w:lineRule="exact"/>
        <w:ind w:firstLine="640"/>
        <w:rPr>
          <w:rFonts w:eastAsia="仿宋_GB2312"/>
          <w:b/>
          <w:sz w:val="32"/>
          <w:szCs w:val="32"/>
        </w:rPr>
      </w:pPr>
      <w:r>
        <w:rPr>
          <w:rFonts w:eastAsia="仿宋_GB2312"/>
          <w:b/>
          <w:sz w:val="32"/>
          <w:szCs w:val="32"/>
        </w:rPr>
        <w:t>2.公务用车购置及运行维护费支出</w:t>
      </w:r>
      <w:r>
        <w:rPr>
          <w:rFonts w:eastAsia="仿宋_GB2312"/>
          <w:sz w:val="32"/>
          <w:szCs w:val="32"/>
        </w:rPr>
        <w:t>17.25万元,</w:t>
      </w:r>
      <w:r>
        <w:rPr>
          <w:rStyle w:val="14"/>
          <w:rFonts w:eastAsia="仿宋_GB2312"/>
          <w:b w:val="0"/>
          <w:bCs/>
          <w:sz w:val="32"/>
          <w:szCs w:val="32"/>
        </w:rPr>
        <w:t>完成预算95.83%。</w:t>
      </w:r>
      <w:r>
        <w:rPr>
          <w:rFonts w:eastAsia="仿宋_GB2312"/>
          <w:sz w:val="32"/>
          <w:szCs w:val="32"/>
        </w:rPr>
        <w:t>公务用车购置及运行维护费支出决算比2020年增加2.14万元，增长14.16%。主要原因是车辆燃油费、车辆保险费等支出增加。</w:t>
      </w:r>
    </w:p>
    <w:p>
      <w:pPr>
        <w:spacing w:line="60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2021年12月底，单位共有公务用车6辆，其中：轿车3辆、越野车1辆、商务车1辆、载客汽车1辆。</w:t>
      </w:r>
    </w:p>
    <w:p>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17.25万元。主要用于开展招商引资、劳务慰问工作等所需的公务用车燃料费、维修费、过路过桥费、保险费等支出。</w:t>
      </w:r>
    </w:p>
    <w:p>
      <w:pPr>
        <w:spacing w:line="600" w:lineRule="exact"/>
        <w:ind w:firstLine="640"/>
        <w:rPr>
          <w:rFonts w:eastAsia="仿宋_GB2312"/>
          <w:sz w:val="32"/>
          <w:szCs w:val="32"/>
        </w:rPr>
      </w:pPr>
      <w:r>
        <w:rPr>
          <w:rFonts w:eastAsia="仿宋_GB2312"/>
          <w:b/>
          <w:sz w:val="32"/>
          <w:szCs w:val="32"/>
        </w:rPr>
        <w:t>3.公务接待费支出</w:t>
      </w:r>
      <w:r>
        <w:rPr>
          <w:rFonts w:eastAsia="仿宋_GB2312"/>
          <w:sz w:val="32"/>
          <w:szCs w:val="32"/>
        </w:rPr>
        <w:t>39.37万元，</w:t>
      </w:r>
      <w:r>
        <w:rPr>
          <w:rStyle w:val="14"/>
          <w:rFonts w:eastAsia="仿宋_GB2312"/>
          <w:b w:val="0"/>
          <w:bCs/>
          <w:sz w:val="32"/>
          <w:szCs w:val="32"/>
        </w:rPr>
        <w:t>完成预算87.49%。</w:t>
      </w:r>
      <w:r>
        <w:rPr>
          <w:rFonts w:eastAsia="仿宋_GB2312"/>
          <w:sz w:val="32"/>
          <w:szCs w:val="32"/>
        </w:rPr>
        <w:t>公务接待费支出决算比2020年增加6.48万元，增长19.7%。主要原因是新冠肺炎疫情较上年缓解，增加投资促进接待支出。其中：</w:t>
      </w:r>
    </w:p>
    <w:p>
      <w:pPr>
        <w:spacing w:line="600" w:lineRule="exact"/>
        <w:ind w:firstLine="640"/>
        <w:rPr>
          <w:rFonts w:eastAsia="仿宋_GB2312"/>
          <w:sz w:val="32"/>
          <w:szCs w:val="32"/>
        </w:rPr>
      </w:pPr>
      <w:r>
        <w:rPr>
          <w:rFonts w:eastAsia="仿宋_GB2312"/>
          <w:b/>
          <w:sz w:val="32"/>
          <w:szCs w:val="32"/>
        </w:rPr>
        <w:t>国内公务接待支出</w:t>
      </w:r>
      <w:r>
        <w:rPr>
          <w:rFonts w:eastAsia="仿宋_GB2312"/>
          <w:sz w:val="32"/>
          <w:szCs w:val="32"/>
        </w:rPr>
        <w:t>39.37万元，主要用于投资促进活动、执行公务、开展业务活动开支的交通费、住宿费、用餐费等。国内公务接待219批次，2625人次（不包括陪同人员），共计支出39.37万元，具体内容包括：举办2021年中外企业四川行、第十八届西博会等系列重大投资促进活动，以及川商返乡开展投资促进活动的客商接待。</w:t>
      </w:r>
    </w:p>
    <w:p>
      <w:pPr>
        <w:spacing w:line="600" w:lineRule="exact"/>
        <w:ind w:firstLine="642" w:firstLineChars="200"/>
        <w:rPr>
          <w:rFonts w:eastAsia="仿宋_GB2312"/>
          <w:sz w:val="32"/>
          <w:szCs w:val="32"/>
        </w:rPr>
      </w:pPr>
      <w:r>
        <w:rPr>
          <w:rFonts w:eastAsia="仿宋_GB2312"/>
          <w:b/>
          <w:sz w:val="32"/>
          <w:szCs w:val="32"/>
        </w:rPr>
        <w:t>外事接待支出</w:t>
      </w:r>
      <w:r>
        <w:rPr>
          <w:rFonts w:eastAsia="仿宋_GB2312"/>
          <w:sz w:val="32"/>
          <w:szCs w:val="32"/>
        </w:rPr>
        <w:t>0万元。</w:t>
      </w:r>
    </w:p>
    <w:p>
      <w:pPr>
        <w:spacing w:line="600" w:lineRule="exact"/>
        <w:ind w:firstLine="640" w:firstLineChars="200"/>
        <w:outlineLvl w:val="1"/>
        <w:rPr>
          <w:rStyle w:val="25"/>
          <w:rFonts w:ascii="黑体" w:hAnsi="黑体" w:eastAsia="黑体" w:cs="黑体"/>
        </w:rPr>
      </w:pPr>
      <w:bookmarkStart w:id="56" w:name="_Toc15377218"/>
      <w:bookmarkStart w:id="57" w:name="_Toc113284436"/>
      <w:bookmarkStart w:id="58" w:name="_Toc15396610"/>
      <w:r>
        <w:rPr>
          <w:rFonts w:hint="eastAsia" w:ascii="黑体" w:hAnsi="黑体" w:eastAsia="黑体" w:cs="黑体"/>
          <w:sz w:val="32"/>
          <w:szCs w:val="32"/>
        </w:rPr>
        <w:t>八、</w:t>
      </w:r>
      <w:r>
        <w:rPr>
          <w:rStyle w:val="25"/>
          <w:rFonts w:hint="eastAsia" w:ascii="黑体" w:hAnsi="黑体" w:eastAsia="黑体" w:cs="黑体"/>
          <w:b w:val="0"/>
        </w:rPr>
        <w:t>政府性基金预算支出决算情况说明</w:t>
      </w:r>
      <w:bookmarkEnd w:id="56"/>
      <w:bookmarkEnd w:id="57"/>
      <w:bookmarkEnd w:id="58"/>
    </w:p>
    <w:p>
      <w:pPr>
        <w:spacing w:line="600" w:lineRule="exact"/>
        <w:ind w:firstLine="640"/>
        <w:rPr>
          <w:rFonts w:eastAsia="仿宋_GB2312"/>
          <w:sz w:val="32"/>
          <w:szCs w:val="32"/>
        </w:rPr>
      </w:pPr>
      <w:r>
        <w:rPr>
          <w:rFonts w:eastAsia="仿宋_GB2312"/>
          <w:sz w:val="32"/>
          <w:szCs w:val="32"/>
        </w:rPr>
        <w:t>20</w:t>
      </w:r>
      <w:r>
        <w:rPr>
          <w:rFonts w:hint="eastAsia" w:eastAsia="仿宋_GB2312"/>
          <w:sz w:val="32"/>
          <w:szCs w:val="32"/>
        </w:rPr>
        <w:t>21年政府性基金预算财政拨款支出0万元。</w:t>
      </w:r>
    </w:p>
    <w:p>
      <w:pPr>
        <w:spacing w:line="600" w:lineRule="exact"/>
        <w:ind w:firstLine="640" w:firstLineChars="200"/>
        <w:outlineLvl w:val="1"/>
        <w:rPr>
          <w:rFonts w:ascii="黑体" w:hAnsi="黑体" w:eastAsia="黑体" w:cs="黑体"/>
          <w:sz w:val="32"/>
          <w:szCs w:val="32"/>
        </w:rPr>
      </w:pPr>
      <w:bookmarkStart w:id="59" w:name="_Toc15377219"/>
      <w:bookmarkStart w:id="60" w:name="_Toc15396611"/>
      <w:bookmarkStart w:id="61" w:name="_Toc113284437"/>
      <w:r>
        <w:rPr>
          <w:rFonts w:hint="eastAsia" w:ascii="黑体" w:hAnsi="黑体" w:eastAsia="黑体" w:cs="黑体"/>
          <w:sz w:val="32"/>
          <w:szCs w:val="32"/>
        </w:rPr>
        <w:t>九、国有资本经营预算支出决算情况说明</w:t>
      </w:r>
      <w:bookmarkEnd w:id="59"/>
      <w:bookmarkEnd w:id="60"/>
      <w:bookmarkEnd w:id="61"/>
    </w:p>
    <w:p>
      <w:pPr>
        <w:spacing w:line="600" w:lineRule="exact"/>
        <w:ind w:firstLine="640"/>
        <w:rPr>
          <w:rFonts w:eastAsia="仿宋_GB2312"/>
          <w:sz w:val="32"/>
          <w:szCs w:val="32"/>
        </w:rPr>
      </w:pPr>
      <w:r>
        <w:rPr>
          <w:rFonts w:eastAsia="仿宋_GB2312"/>
          <w:sz w:val="32"/>
          <w:szCs w:val="32"/>
        </w:rPr>
        <w:t>20</w:t>
      </w:r>
      <w:r>
        <w:rPr>
          <w:rFonts w:hint="eastAsia" w:eastAsia="仿宋_GB2312"/>
          <w:sz w:val="32"/>
          <w:szCs w:val="32"/>
        </w:rPr>
        <w:t>21年国有资本经营预算财政拨款支出0万元。</w:t>
      </w:r>
    </w:p>
    <w:p>
      <w:pPr>
        <w:spacing w:line="600" w:lineRule="exact"/>
        <w:ind w:firstLine="640" w:firstLineChars="200"/>
        <w:outlineLvl w:val="1"/>
        <w:rPr>
          <w:rFonts w:ascii="黑体" w:hAnsi="黑体" w:eastAsia="黑体" w:cs="黑体"/>
          <w:sz w:val="32"/>
          <w:szCs w:val="32"/>
        </w:rPr>
      </w:pPr>
      <w:bookmarkStart w:id="62" w:name="_Toc15377221"/>
      <w:bookmarkStart w:id="63" w:name="_Toc15396612"/>
      <w:bookmarkStart w:id="64" w:name="_Toc113284438"/>
      <w:r>
        <w:rPr>
          <w:rFonts w:hint="eastAsia" w:ascii="黑体" w:hAnsi="黑体" w:eastAsia="黑体" w:cs="黑体"/>
          <w:sz w:val="32"/>
          <w:szCs w:val="32"/>
        </w:rPr>
        <w:t>十、其他重要事项的情况说明</w:t>
      </w:r>
      <w:bookmarkEnd w:id="62"/>
      <w:bookmarkEnd w:id="63"/>
      <w:bookmarkEnd w:id="64"/>
    </w:p>
    <w:p>
      <w:pPr>
        <w:spacing w:line="600" w:lineRule="exact"/>
        <w:ind w:firstLine="642" w:firstLineChars="200"/>
        <w:outlineLvl w:val="2"/>
        <w:rPr>
          <w:rFonts w:ascii="楷体" w:hAnsi="楷体" w:eastAsia="楷体" w:cs="楷体"/>
          <w:sz w:val="32"/>
          <w:szCs w:val="32"/>
        </w:rPr>
      </w:pPr>
      <w:bookmarkStart w:id="65" w:name="_Toc113284439"/>
      <w:bookmarkStart w:id="66" w:name="_Toc15377222"/>
      <w:r>
        <w:rPr>
          <w:rFonts w:hint="eastAsia" w:ascii="楷体" w:hAnsi="楷体" w:eastAsia="楷体" w:cs="楷体"/>
          <w:b/>
          <w:sz w:val="32"/>
          <w:szCs w:val="32"/>
        </w:rPr>
        <w:t>（一）机关运行经费支出情况</w:t>
      </w:r>
      <w:bookmarkEnd w:id="65"/>
      <w:bookmarkEnd w:id="66"/>
    </w:p>
    <w:p>
      <w:pPr>
        <w:spacing w:line="600" w:lineRule="exact"/>
        <w:ind w:firstLine="640"/>
        <w:rPr>
          <w:rFonts w:eastAsia="仿宋_GB2312"/>
          <w:sz w:val="32"/>
          <w:szCs w:val="32"/>
        </w:rPr>
      </w:pPr>
      <w:r>
        <w:rPr>
          <w:rFonts w:eastAsia="仿宋_GB2312"/>
          <w:sz w:val="32"/>
          <w:szCs w:val="32"/>
        </w:rPr>
        <w:t>20</w:t>
      </w:r>
      <w:r>
        <w:rPr>
          <w:rFonts w:hint="eastAsia" w:eastAsia="仿宋_GB2312"/>
          <w:sz w:val="32"/>
          <w:szCs w:val="32"/>
        </w:rPr>
        <w:t>21年，四川驻沪办机关运行经费支出225.89万元，比</w:t>
      </w:r>
      <w:r>
        <w:rPr>
          <w:rFonts w:eastAsia="仿宋_GB2312"/>
          <w:sz w:val="32"/>
          <w:szCs w:val="32"/>
        </w:rPr>
        <w:t>20</w:t>
      </w:r>
      <w:r>
        <w:rPr>
          <w:rFonts w:hint="eastAsia" w:eastAsia="仿宋_GB2312"/>
          <w:sz w:val="32"/>
          <w:szCs w:val="32"/>
        </w:rPr>
        <w:t>20年增加18.98万元，增长9.17</w:t>
      </w:r>
      <w:r>
        <w:rPr>
          <w:rFonts w:eastAsia="仿宋_GB2312"/>
          <w:sz w:val="32"/>
          <w:szCs w:val="32"/>
        </w:rPr>
        <w:t>%</w:t>
      </w:r>
      <w:r>
        <w:rPr>
          <w:rFonts w:hint="eastAsia" w:eastAsia="仿宋_GB2312"/>
          <w:sz w:val="32"/>
          <w:szCs w:val="32"/>
        </w:rPr>
        <w:t>。主要原因是新冠肺炎疫情较上年缓解，增加会议费、办公费、维修费等支出。</w:t>
      </w:r>
    </w:p>
    <w:p>
      <w:pPr>
        <w:spacing w:line="600" w:lineRule="exact"/>
        <w:ind w:firstLine="642" w:firstLineChars="200"/>
        <w:outlineLvl w:val="2"/>
        <w:rPr>
          <w:rFonts w:ascii="楷体" w:hAnsi="楷体" w:eastAsia="楷体" w:cs="楷体"/>
          <w:b/>
          <w:sz w:val="32"/>
          <w:szCs w:val="32"/>
        </w:rPr>
      </w:pPr>
      <w:bookmarkStart w:id="67" w:name="_Toc15377223"/>
      <w:bookmarkStart w:id="68" w:name="_Toc113284440"/>
      <w:r>
        <w:rPr>
          <w:rFonts w:hint="eastAsia" w:ascii="楷体" w:hAnsi="楷体" w:eastAsia="楷体" w:cs="楷体"/>
          <w:b/>
          <w:sz w:val="32"/>
          <w:szCs w:val="32"/>
        </w:rPr>
        <w:t>（二）政府采购支出情况</w:t>
      </w:r>
      <w:bookmarkEnd w:id="67"/>
      <w:bookmarkEnd w:id="68"/>
    </w:p>
    <w:p>
      <w:pPr>
        <w:spacing w:line="600" w:lineRule="exact"/>
        <w:ind w:firstLine="640"/>
        <w:rPr>
          <w:rFonts w:eastAsia="仿宋_GB2312"/>
          <w:color w:val="000000" w:themeColor="text1"/>
          <w:sz w:val="32"/>
          <w:szCs w:val="32"/>
        </w:rPr>
      </w:pPr>
      <w:r>
        <w:rPr>
          <w:rFonts w:eastAsia="仿宋_GB2312"/>
          <w:sz w:val="32"/>
          <w:szCs w:val="32"/>
        </w:rPr>
        <w:t>2021年，四川驻沪办政府采购支出总额172.26万元，其中：政府采购货物支出8.1万元、政府采购工程支出149.16万元、政府采购服务支出15万元。主要用于办公设备采购支出、办公楼维修维护支出、开展招商引资和劳务慰问等工作需要的车辆维修保养、燃油费、保险费等服务支出。授予中小企业合同金额163.26万元，占政府采购支出总额的94.78%，</w:t>
      </w:r>
      <w:r>
        <w:rPr>
          <w:rFonts w:eastAsia="仿宋_GB2312"/>
          <w:color w:val="000000" w:themeColor="text1"/>
          <w:sz w:val="32"/>
          <w:szCs w:val="32"/>
        </w:rPr>
        <w:t>其中：授予小微企业合同金额0万元，占政府采购支出总额的0%。</w:t>
      </w:r>
    </w:p>
    <w:p>
      <w:pPr>
        <w:spacing w:line="600" w:lineRule="exact"/>
        <w:ind w:firstLine="642" w:firstLineChars="200"/>
        <w:outlineLvl w:val="2"/>
        <w:rPr>
          <w:rFonts w:ascii="楷体" w:hAnsi="楷体" w:eastAsia="楷体" w:cs="楷体"/>
          <w:b/>
          <w:sz w:val="32"/>
          <w:szCs w:val="32"/>
        </w:rPr>
      </w:pPr>
      <w:bookmarkStart w:id="69" w:name="_Toc15377224"/>
      <w:bookmarkStart w:id="70" w:name="_Toc113284441"/>
      <w:r>
        <w:rPr>
          <w:rFonts w:hint="eastAsia" w:ascii="楷体" w:hAnsi="楷体" w:eastAsia="楷体" w:cs="楷体"/>
          <w:b/>
          <w:sz w:val="32"/>
          <w:szCs w:val="32"/>
        </w:rPr>
        <w:t>（三）国有资产占有使用情况</w:t>
      </w:r>
      <w:bookmarkEnd w:id="69"/>
      <w:bookmarkEnd w:id="70"/>
    </w:p>
    <w:p>
      <w:pPr>
        <w:spacing w:line="600" w:lineRule="exact"/>
        <w:ind w:firstLine="640"/>
        <w:rPr>
          <w:rFonts w:eastAsia="仿宋_GB2312"/>
          <w:sz w:val="32"/>
          <w:szCs w:val="32"/>
        </w:rPr>
      </w:pPr>
      <w:r>
        <w:rPr>
          <w:rFonts w:hint="eastAsia" w:eastAsia="仿宋_GB2312"/>
          <w:sz w:val="32"/>
          <w:szCs w:val="32"/>
        </w:rPr>
        <w:t>截至</w:t>
      </w:r>
      <w:r>
        <w:rPr>
          <w:rFonts w:eastAsia="仿宋_GB2312"/>
          <w:sz w:val="32"/>
          <w:szCs w:val="32"/>
        </w:rPr>
        <w:t>20</w:t>
      </w:r>
      <w:r>
        <w:rPr>
          <w:rFonts w:hint="eastAsia" w:eastAsia="仿宋_GB2312"/>
          <w:sz w:val="32"/>
          <w:szCs w:val="32"/>
        </w:rPr>
        <w:t>21年</w:t>
      </w:r>
      <w:r>
        <w:rPr>
          <w:rFonts w:eastAsia="仿宋_GB2312"/>
          <w:sz w:val="32"/>
          <w:szCs w:val="32"/>
        </w:rPr>
        <w:t>12</w:t>
      </w:r>
      <w:r>
        <w:rPr>
          <w:rFonts w:hint="eastAsia" w:eastAsia="仿宋_GB2312"/>
          <w:sz w:val="32"/>
          <w:szCs w:val="32"/>
        </w:rPr>
        <w:t>月</w:t>
      </w:r>
      <w:r>
        <w:rPr>
          <w:rFonts w:eastAsia="仿宋_GB2312"/>
          <w:sz w:val="32"/>
          <w:szCs w:val="32"/>
        </w:rPr>
        <w:t>31</w:t>
      </w:r>
      <w:r>
        <w:rPr>
          <w:rFonts w:hint="eastAsia" w:eastAsia="仿宋_GB2312"/>
          <w:sz w:val="32"/>
          <w:szCs w:val="32"/>
        </w:rPr>
        <w:t>日，四川驻沪办共有车辆6辆，其中：主要领导干部用车0辆、机要通信用车1辆、应急保障用车4辆、离退休干部用车1辆。单价</w:t>
      </w:r>
      <w:r>
        <w:rPr>
          <w:rFonts w:eastAsia="仿宋_GB2312"/>
          <w:sz w:val="32"/>
          <w:szCs w:val="32"/>
        </w:rPr>
        <w:t>50</w:t>
      </w:r>
      <w:r>
        <w:rPr>
          <w:rFonts w:hint="eastAsia" w:eastAsia="仿宋_GB2312"/>
          <w:sz w:val="32"/>
          <w:szCs w:val="32"/>
        </w:rPr>
        <w:t>万元以上通用设备0台（套），单价</w:t>
      </w:r>
      <w:r>
        <w:rPr>
          <w:rFonts w:eastAsia="仿宋_GB2312"/>
          <w:sz w:val="32"/>
          <w:szCs w:val="32"/>
        </w:rPr>
        <w:t>100</w:t>
      </w:r>
      <w:r>
        <w:rPr>
          <w:rFonts w:hint="eastAsia" w:eastAsia="仿宋_GB2312"/>
          <w:sz w:val="32"/>
          <w:szCs w:val="32"/>
        </w:rPr>
        <w:t>万元以上专用设备0台（套）。</w:t>
      </w:r>
    </w:p>
    <w:p>
      <w:pPr>
        <w:spacing w:line="600" w:lineRule="exact"/>
        <w:ind w:firstLine="642" w:firstLineChars="200"/>
        <w:outlineLvl w:val="2"/>
        <w:rPr>
          <w:rFonts w:ascii="楷体" w:hAnsi="楷体" w:eastAsia="楷体" w:cs="楷体"/>
          <w:b/>
          <w:sz w:val="32"/>
          <w:szCs w:val="32"/>
        </w:rPr>
      </w:pPr>
      <w:bookmarkStart w:id="71" w:name="_Toc113284442"/>
      <w:r>
        <w:rPr>
          <w:rFonts w:hint="eastAsia" w:ascii="楷体" w:hAnsi="楷体" w:eastAsia="楷体" w:cs="楷体"/>
          <w:b/>
          <w:sz w:val="32"/>
          <w:szCs w:val="32"/>
        </w:rPr>
        <w:t>（四）预算绩效管理情况</w:t>
      </w:r>
      <w:bookmarkEnd w:id="71"/>
    </w:p>
    <w:p>
      <w:pPr>
        <w:spacing w:line="600" w:lineRule="exact"/>
        <w:ind w:firstLine="640"/>
        <w:rPr>
          <w:rFonts w:eastAsia="仿宋_GB2312"/>
          <w:sz w:val="32"/>
          <w:szCs w:val="32"/>
        </w:rPr>
      </w:pPr>
      <w:r>
        <w:rPr>
          <w:rFonts w:hint="eastAsia" w:eastAsia="仿宋_GB2312"/>
          <w:sz w:val="32"/>
          <w:szCs w:val="32"/>
        </w:rPr>
        <w:t>根据预算绩效管理要求，本单位在2021年度预算编制阶段，组织对</w:t>
      </w:r>
      <w:r>
        <w:rPr>
          <w:rFonts w:eastAsia="仿宋_GB2312"/>
          <w:sz w:val="32"/>
          <w:szCs w:val="32"/>
        </w:rPr>
        <w:t>省级预算内基本建设资金</w:t>
      </w:r>
      <w:r>
        <w:rPr>
          <w:rFonts w:hint="eastAsia" w:eastAsia="仿宋_GB2312"/>
          <w:sz w:val="32"/>
          <w:szCs w:val="32"/>
        </w:rPr>
        <w:t>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spacing w:line="600" w:lineRule="exact"/>
        <w:ind w:firstLine="640"/>
        <w:rPr>
          <w:rFonts w:eastAsia="仿宋_GB2312"/>
          <w:sz w:val="32"/>
          <w:szCs w:val="32"/>
        </w:rPr>
      </w:pPr>
      <w:r>
        <w:rPr>
          <w:rFonts w:eastAsia="仿宋_GB2312"/>
          <w:sz w:val="32"/>
          <w:szCs w:val="32"/>
        </w:rPr>
        <w:br w:type="page"/>
      </w:r>
    </w:p>
    <w:p>
      <w:pPr>
        <w:spacing w:line="600" w:lineRule="exact"/>
        <w:jc w:val="center"/>
        <w:outlineLvl w:val="0"/>
        <w:rPr>
          <w:rStyle w:val="24"/>
          <w:rFonts w:ascii="黑体" w:hAnsi="黑体" w:eastAsia="黑体"/>
          <w:b w:val="0"/>
        </w:rPr>
      </w:pPr>
      <w:bookmarkStart w:id="72" w:name="_Toc15396613"/>
      <w:bookmarkStart w:id="73" w:name="_Toc15377225"/>
      <w:bookmarkStart w:id="74" w:name="_Toc113284443"/>
      <w:r>
        <w:rPr>
          <w:rFonts w:hint="eastAsia" w:ascii="黑体" w:hAnsi="黑体" w:eastAsia="黑体"/>
          <w:sz w:val="44"/>
          <w:szCs w:val="44"/>
        </w:rPr>
        <w:t>第三部分名</w:t>
      </w:r>
      <w:r>
        <w:rPr>
          <w:rStyle w:val="24"/>
          <w:rFonts w:hint="eastAsia" w:ascii="黑体" w:hAnsi="黑体" w:eastAsia="黑体"/>
          <w:b w:val="0"/>
        </w:rPr>
        <w:t>词解释</w:t>
      </w:r>
      <w:bookmarkEnd w:id="72"/>
      <w:bookmarkEnd w:id="73"/>
      <w:bookmarkEnd w:id="74"/>
    </w:p>
    <w:p>
      <w:pPr>
        <w:spacing w:line="600" w:lineRule="exact"/>
        <w:jc w:val="left"/>
        <w:rPr>
          <w:rFonts w:ascii="宋体"/>
          <w:b/>
          <w:sz w:val="44"/>
          <w:szCs w:val="44"/>
        </w:rPr>
      </w:pPr>
    </w:p>
    <w:p>
      <w:pPr>
        <w:spacing w:line="600" w:lineRule="exact"/>
        <w:ind w:firstLine="640"/>
        <w:rPr>
          <w:rFonts w:eastAsia="仿宋_GB2312"/>
          <w:sz w:val="32"/>
          <w:szCs w:val="32"/>
        </w:rPr>
      </w:pPr>
      <w:r>
        <w:rPr>
          <w:rFonts w:eastAsia="仿宋_GB2312"/>
          <w:sz w:val="32"/>
          <w:szCs w:val="32"/>
        </w:rPr>
        <w:t>1.</w:t>
      </w:r>
      <w:r>
        <w:rPr>
          <w:rFonts w:hint="eastAsia" w:eastAsia="仿宋_GB2312"/>
          <w:sz w:val="32"/>
          <w:szCs w:val="32"/>
        </w:rPr>
        <w:t>财政拨款收入：指单位从同级财政部门取得的财政预算资金。</w:t>
      </w:r>
    </w:p>
    <w:p>
      <w:pPr>
        <w:spacing w:line="600" w:lineRule="exact"/>
        <w:ind w:firstLine="64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年初结转和结余：指以前年度尚未完成、结转到本年按有关规定继续使用的资金。</w:t>
      </w:r>
    </w:p>
    <w:p>
      <w:pPr>
        <w:spacing w:line="600" w:lineRule="exact"/>
        <w:ind w:firstLine="64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结余分配：指事业单位按照会计制度规定缴纳的所得税、提取的专用结余以及转入非财政拨款结余的金额等。</w:t>
      </w:r>
    </w:p>
    <w:p>
      <w:pPr>
        <w:spacing w:line="600" w:lineRule="exact"/>
        <w:ind w:firstLine="640"/>
        <w:rPr>
          <w:rFonts w:eastAsia="仿宋_GB2312"/>
          <w:sz w:val="32"/>
          <w:szCs w:val="32"/>
        </w:rPr>
      </w:pPr>
      <w:r>
        <w:rPr>
          <w:rFonts w:hint="eastAsia" w:eastAsia="仿宋_GB2312"/>
          <w:sz w:val="32"/>
          <w:szCs w:val="32"/>
        </w:rPr>
        <w:t>4.年末结转和结余：指单位按有关规定结转到下年或以后年度继续使用的资金。</w:t>
      </w:r>
    </w:p>
    <w:p>
      <w:pPr>
        <w:spacing w:line="600" w:lineRule="exact"/>
        <w:ind w:firstLine="640"/>
        <w:rPr>
          <w:rFonts w:eastAsia="仿宋_GB2312"/>
          <w:sz w:val="32"/>
          <w:szCs w:val="32"/>
        </w:rPr>
      </w:pPr>
      <w:r>
        <w:rPr>
          <w:rFonts w:eastAsia="仿宋_GB2312"/>
          <w:sz w:val="32"/>
          <w:szCs w:val="32"/>
        </w:rPr>
        <w:t>5.一般公共服务（类）商贸事务（款）行政运行（项）: 指用于保障机构正常运行、开展日常工作的基本支出。</w:t>
      </w:r>
    </w:p>
    <w:p>
      <w:pPr>
        <w:spacing w:line="600" w:lineRule="exact"/>
        <w:ind w:firstLine="640"/>
        <w:rPr>
          <w:rFonts w:eastAsia="仿宋_GB2312"/>
          <w:sz w:val="32"/>
          <w:szCs w:val="32"/>
        </w:rPr>
      </w:pPr>
      <w:r>
        <w:rPr>
          <w:rFonts w:eastAsia="仿宋_GB2312"/>
          <w:sz w:val="32"/>
          <w:szCs w:val="32"/>
        </w:rPr>
        <w:t>6.一般公共服务（类）商贸事务（款）一般行政管理事务（项）: 指反映行政单位（包括实行公务员管理的事业单位）未单独设置项级科目的其他项目支出。</w:t>
      </w:r>
    </w:p>
    <w:p>
      <w:pPr>
        <w:spacing w:line="600" w:lineRule="exact"/>
        <w:ind w:firstLine="640"/>
        <w:rPr>
          <w:rFonts w:eastAsia="仿宋_GB2312"/>
          <w:sz w:val="32"/>
          <w:szCs w:val="32"/>
        </w:rPr>
      </w:pPr>
      <w:r>
        <w:rPr>
          <w:rFonts w:eastAsia="仿宋_GB2312"/>
          <w:sz w:val="32"/>
          <w:szCs w:val="32"/>
        </w:rPr>
        <w:t>7.一般公共服务（类）商贸事务（款）招商引资（项）: 指反映用于招商引资、优化经济环境等方面的支出。</w:t>
      </w:r>
    </w:p>
    <w:p>
      <w:pPr>
        <w:spacing w:line="600" w:lineRule="exact"/>
        <w:ind w:firstLine="640"/>
        <w:rPr>
          <w:rFonts w:eastAsia="仿宋_GB2312"/>
          <w:sz w:val="32"/>
          <w:szCs w:val="32"/>
        </w:rPr>
      </w:pPr>
      <w:r>
        <w:rPr>
          <w:rFonts w:hint="eastAsia" w:eastAsia="仿宋_GB2312"/>
          <w:sz w:val="32"/>
          <w:szCs w:val="32"/>
        </w:rPr>
        <w:t>8.社会保障和就业（类）行政事业单位养老支出（款）未归口管理的行政单位离退休（项）: 指反映未实行归口管理的行政单位（包括实行公务员管理的事业单位）开支的离退休支出。</w:t>
      </w:r>
    </w:p>
    <w:p>
      <w:pPr>
        <w:spacing w:line="600" w:lineRule="exact"/>
        <w:ind w:firstLine="640"/>
        <w:rPr>
          <w:rFonts w:eastAsia="仿宋_GB2312"/>
          <w:sz w:val="32"/>
          <w:szCs w:val="32"/>
        </w:rPr>
      </w:pPr>
      <w:r>
        <w:rPr>
          <w:rFonts w:hint="eastAsia" w:eastAsia="仿宋_GB2312"/>
          <w:sz w:val="32"/>
          <w:szCs w:val="32"/>
        </w:rPr>
        <w:t>9.社会保障和就业（类）行政事业单位养老支出（款）机关事业单位基本养老保险缴费支出（项）: 指反映机关事业单位实施养老保险制度由单位缴纳的基本保险费支出。</w:t>
      </w:r>
    </w:p>
    <w:p>
      <w:pPr>
        <w:spacing w:line="600" w:lineRule="exact"/>
        <w:ind w:firstLine="640"/>
        <w:rPr>
          <w:rFonts w:eastAsia="仿宋_GB2312"/>
          <w:sz w:val="32"/>
          <w:szCs w:val="32"/>
        </w:rPr>
      </w:pPr>
      <w:r>
        <w:rPr>
          <w:rFonts w:hint="eastAsia" w:eastAsia="仿宋_GB2312"/>
          <w:sz w:val="32"/>
          <w:szCs w:val="32"/>
        </w:rPr>
        <w:t>10.卫生健康支出（类）行政事业单位医疗（款）行政单位医疗（项）: 指反映财政部门集中安排的行政单位基本医疗保险缴费经费，未参加医疗保险的行政单位的公费医疗经费，按国家规定享受离休人员、红军老战士待遇人员的医疗经费。</w:t>
      </w:r>
    </w:p>
    <w:p>
      <w:pPr>
        <w:spacing w:line="600" w:lineRule="exact"/>
        <w:ind w:firstLine="640"/>
        <w:rPr>
          <w:rFonts w:eastAsia="仿宋_GB2312"/>
          <w:sz w:val="32"/>
          <w:szCs w:val="32"/>
        </w:rPr>
      </w:pPr>
      <w:r>
        <w:rPr>
          <w:rFonts w:hint="eastAsia" w:eastAsia="仿宋_GB2312"/>
          <w:sz w:val="32"/>
          <w:szCs w:val="32"/>
        </w:rPr>
        <w:t>11.卫生健康支出（类）行政事业单位医疗（款）事业单位医疗（项）: 指反映财政部门集中安排的事业单位基本医疗保险缴费经费，未参加医疗保险的事业单位的公费医疗经费，按国家规定享受离休人员待遇的医疗经费。</w:t>
      </w:r>
    </w:p>
    <w:p>
      <w:pPr>
        <w:spacing w:line="600" w:lineRule="exact"/>
        <w:ind w:firstLine="640"/>
        <w:rPr>
          <w:rFonts w:eastAsia="仿宋_GB2312"/>
          <w:sz w:val="32"/>
          <w:szCs w:val="32"/>
        </w:rPr>
      </w:pPr>
      <w:r>
        <w:rPr>
          <w:rFonts w:hint="eastAsia" w:eastAsia="仿宋_GB2312"/>
          <w:sz w:val="32"/>
          <w:szCs w:val="32"/>
        </w:rPr>
        <w:t>12.卫生健康支出（类）行政事业单位医疗（款）公务员医疗补助（项）: 指反映财政部门集中安排的公务员医疗补助经费。</w:t>
      </w:r>
    </w:p>
    <w:p>
      <w:pPr>
        <w:spacing w:line="600" w:lineRule="exact"/>
        <w:ind w:firstLine="640"/>
        <w:rPr>
          <w:rFonts w:eastAsia="仿宋_GB2312"/>
          <w:sz w:val="32"/>
          <w:szCs w:val="32"/>
        </w:rPr>
      </w:pPr>
      <w:r>
        <w:rPr>
          <w:rFonts w:hint="eastAsia" w:eastAsia="仿宋_GB2312"/>
          <w:sz w:val="32"/>
          <w:szCs w:val="32"/>
        </w:rPr>
        <w:t>13.住房保障支出（类）住房改革（款）住房公积金（项）: 指反映行政事业单位按人力资源和社会保障部、财政部规定的基本工资和津贴补贴以及规定比例为职工缴纳的住房公积金。</w:t>
      </w:r>
    </w:p>
    <w:p>
      <w:pPr>
        <w:spacing w:line="600" w:lineRule="exact"/>
        <w:ind w:firstLine="64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基本支出：指为保障机构正常运转、完成日常工作任务而发生的人员支出和公用支出。</w:t>
      </w:r>
    </w:p>
    <w:p>
      <w:pPr>
        <w:spacing w:line="600" w:lineRule="exact"/>
        <w:ind w:firstLine="64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项目支出：指在基本支出之外为完成特定行政任务和事业发展目标所发生的支出。</w:t>
      </w:r>
    </w:p>
    <w:p>
      <w:pPr>
        <w:spacing w:line="600" w:lineRule="exact"/>
        <w:ind w:firstLine="640"/>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eastAsia="仿宋_GB2312"/>
          <w:sz w:val="32"/>
          <w:szCs w:val="32"/>
        </w:rPr>
      </w:pPr>
      <w:r>
        <w:rPr>
          <w:rFonts w:hint="eastAsia" w:eastAsia="仿宋_GB2312"/>
          <w:sz w:val="32"/>
          <w:szCs w:val="32"/>
        </w:rPr>
        <w:t>17</w:t>
      </w:r>
      <w:r>
        <w:rPr>
          <w:rFonts w:eastAsia="仿宋_GB2312"/>
          <w:sz w:val="32"/>
          <w:szCs w:val="32"/>
        </w:rPr>
        <w:t>.</w:t>
      </w:r>
      <w:r>
        <w:rPr>
          <w:rFonts w:hint="eastAsia"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 w:hAnsi="仿宋" w:eastAsia="仿宋"/>
          <w:b/>
          <w:sz w:val="44"/>
          <w:szCs w:val="44"/>
        </w:rPr>
      </w:pPr>
      <w:bookmarkStart w:id="75" w:name="_Toc15377226"/>
      <w:r>
        <w:rPr>
          <w:rFonts w:ascii="仿宋" w:hAnsi="仿宋" w:eastAsia="仿宋"/>
          <w:b/>
          <w:sz w:val="44"/>
          <w:szCs w:val="44"/>
        </w:rPr>
        <w:br w:type="page"/>
      </w:r>
      <w:bookmarkStart w:id="76" w:name="_Toc15396614"/>
    </w:p>
    <w:p>
      <w:pPr>
        <w:spacing w:line="600" w:lineRule="exact"/>
        <w:jc w:val="center"/>
        <w:outlineLvl w:val="0"/>
        <w:rPr>
          <w:rFonts w:ascii="黑体" w:hAnsi="黑体" w:eastAsia="黑体"/>
          <w:bCs/>
          <w:kern w:val="44"/>
          <w:sz w:val="44"/>
          <w:szCs w:val="44"/>
        </w:rPr>
      </w:pPr>
      <w:bookmarkStart w:id="77" w:name="_Toc113284444"/>
      <w:r>
        <w:rPr>
          <w:rFonts w:hint="eastAsia" w:ascii="黑体" w:hAnsi="黑体" w:eastAsia="黑体"/>
          <w:sz w:val="44"/>
          <w:szCs w:val="44"/>
        </w:rPr>
        <w:t>第</w:t>
      </w:r>
      <w:r>
        <w:rPr>
          <w:rStyle w:val="24"/>
          <w:rFonts w:hint="eastAsia" w:ascii="黑体" w:hAnsi="黑体" w:eastAsia="黑体"/>
          <w:b w:val="0"/>
        </w:rPr>
        <w:t>四部分 附件</w:t>
      </w:r>
      <w:bookmarkEnd w:id="76"/>
      <w:bookmarkEnd w:id="77"/>
    </w:p>
    <w:tbl>
      <w:tblPr>
        <w:tblStyle w:val="12"/>
        <w:tblW w:w="5621" w:type="pct"/>
        <w:jc w:val="center"/>
        <w:tblLayout w:type="autofit"/>
        <w:tblCellMar>
          <w:top w:w="0" w:type="dxa"/>
          <w:left w:w="108" w:type="dxa"/>
          <w:bottom w:w="0" w:type="dxa"/>
          <w:right w:w="108" w:type="dxa"/>
        </w:tblCellMar>
      </w:tblPr>
      <w:tblGrid>
        <w:gridCol w:w="1002"/>
        <w:gridCol w:w="728"/>
        <w:gridCol w:w="1002"/>
        <w:gridCol w:w="1778"/>
        <w:gridCol w:w="412"/>
        <w:gridCol w:w="1312"/>
        <w:gridCol w:w="3346"/>
      </w:tblGrid>
      <w:tr>
        <w:tblPrEx>
          <w:tblCellMar>
            <w:top w:w="0" w:type="dxa"/>
            <w:left w:w="108" w:type="dxa"/>
            <w:bottom w:w="0" w:type="dxa"/>
            <w:right w:w="108" w:type="dxa"/>
          </w:tblCellMar>
        </w:tblPrEx>
        <w:trPr>
          <w:trHeight w:val="675" w:hRule="atLeast"/>
          <w:jc w:val="center"/>
        </w:trPr>
        <w:tc>
          <w:tcPr>
            <w:tcW w:w="5000" w:type="pct"/>
            <w:gridSpan w:val="7"/>
            <w:tcBorders>
              <w:top w:val="nil"/>
              <w:left w:val="nil"/>
              <w:bottom w:val="nil"/>
              <w:right w:val="nil"/>
            </w:tcBorders>
            <w:shd w:val="clear" w:color="auto" w:fill="auto"/>
            <w:vAlign w:val="center"/>
          </w:tcPr>
          <w:p>
            <w:pPr>
              <w:widowControl/>
              <w:rPr>
                <w:bCs/>
                <w:kern w:val="0"/>
                <w:szCs w:val="32"/>
              </w:rPr>
            </w:pPr>
            <w:bookmarkStart w:id="78" w:name="_Toc15396618"/>
          </w:p>
          <w:p>
            <w:pPr>
              <w:widowControl/>
              <w:jc w:val="center"/>
              <w:textAlignment w:val="center"/>
              <w:rPr>
                <w:rFonts w:asciiTheme="majorEastAsia" w:hAnsiTheme="majorEastAsia" w:eastAsiaTheme="majorEastAsia"/>
                <w:b/>
                <w:bCs/>
                <w:kern w:val="0"/>
                <w:sz w:val="24"/>
              </w:rPr>
            </w:pPr>
            <w:r>
              <w:rPr>
                <w:rFonts w:hint="eastAsia" w:asciiTheme="majorEastAsia" w:hAnsiTheme="majorEastAsia" w:eastAsiaTheme="majorEastAsia"/>
                <w:b/>
                <w:bCs/>
                <w:kern w:val="0"/>
                <w:sz w:val="24"/>
              </w:rPr>
              <w:t>2021年100万</w:t>
            </w:r>
            <w:r>
              <w:rPr>
                <w:rFonts w:asciiTheme="majorEastAsia" w:hAnsiTheme="majorEastAsia" w:eastAsiaTheme="majorEastAsia"/>
                <w:b/>
                <w:bCs/>
                <w:kern w:val="0"/>
                <w:sz w:val="24"/>
              </w:rPr>
              <w:t>元以上（含）特定</w:t>
            </w:r>
            <w:r>
              <w:rPr>
                <w:rFonts w:hint="eastAsia" w:asciiTheme="majorEastAsia" w:hAnsiTheme="majorEastAsia" w:eastAsiaTheme="majorEastAsia"/>
                <w:b/>
                <w:bCs/>
                <w:kern w:val="0"/>
                <w:sz w:val="24"/>
              </w:rPr>
              <w:t>目标</w:t>
            </w:r>
            <w:r>
              <w:rPr>
                <w:rFonts w:asciiTheme="majorEastAsia" w:hAnsiTheme="majorEastAsia" w:eastAsiaTheme="majorEastAsia"/>
                <w:b/>
                <w:bCs/>
                <w:kern w:val="0"/>
                <w:sz w:val="24"/>
              </w:rPr>
              <w:t>类部门项目绩效</w:t>
            </w:r>
            <w:r>
              <w:rPr>
                <w:rFonts w:hint="eastAsia" w:asciiTheme="majorEastAsia" w:hAnsiTheme="majorEastAsia" w:eastAsiaTheme="majorEastAsia"/>
                <w:b/>
                <w:bCs/>
                <w:kern w:val="0"/>
                <w:sz w:val="24"/>
              </w:rPr>
              <w:t>目标</w:t>
            </w:r>
            <w:r>
              <w:rPr>
                <w:rFonts w:asciiTheme="majorEastAsia" w:hAnsiTheme="majorEastAsia" w:eastAsiaTheme="majorEastAsia"/>
                <w:b/>
                <w:bCs/>
                <w:kern w:val="0"/>
                <w:sz w:val="24"/>
              </w:rPr>
              <w:t>自评</w:t>
            </w:r>
          </w:p>
          <w:p>
            <w:pPr>
              <w:widowControl/>
              <w:jc w:val="center"/>
              <w:textAlignment w:val="center"/>
              <w:rPr>
                <w:rFonts w:asciiTheme="majorEastAsia" w:hAnsiTheme="majorEastAsia" w:eastAsiaTheme="majorEastAsia"/>
                <w:b/>
                <w:bCs/>
                <w:kern w:val="0"/>
                <w:sz w:val="24"/>
              </w:rPr>
            </w:pPr>
            <w:r>
              <w:rPr>
                <w:rFonts w:asciiTheme="majorEastAsia" w:hAnsiTheme="majorEastAsia" w:eastAsiaTheme="majorEastAsia"/>
                <w:b/>
                <w:bCs/>
                <w:kern w:val="0"/>
                <w:sz w:val="24"/>
              </w:rPr>
              <w:t>（省级预算内基本建设资金</w:t>
            </w:r>
            <w:r>
              <w:rPr>
                <w:rFonts w:hint="eastAsia" w:asciiTheme="majorEastAsia" w:hAnsiTheme="majorEastAsia" w:eastAsiaTheme="majorEastAsia"/>
                <w:b/>
                <w:bCs/>
                <w:kern w:val="0"/>
                <w:sz w:val="24"/>
              </w:rPr>
              <w:t>）</w:t>
            </w:r>
          </w:p>
          <w:p>
            <w:pPr>
              <w:widowControl/>
              <w:jc w:val="center"/>
              <w:textAlignment w:val="center"/>
              <w:rPr>
                <w:bCs/>
                <w:color w:val="000000"/>
                <w:sz w:val="20"/>
                <w:szCs w:val="20"/>
              </w:rPr>
            </w:pPr>
          </w:p>
        </w:tc>
      </w:tr>
      <w:tr>
        <w:tblPrEx>
          <w:tblCellMar>
            <w:top w:w="0" w:type="dxa"/>
            <w:left w:w="108" w:type="dxa"/>
            <w:bottom w:w="0" w:type="dxa"/>
            <w:right w:w="108" w:type="dxa"/>
          </w:tblCellMar>
        </w:tblPrEx>
        <w:trPr>
          <w:trHeight w:val="732" w:hRule="atLeast"/>
          <w:jc w:val="center"/>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sz w:val="20"/>
                <w:szCs w:val="20"/>
              </w:rPr>
            </w:pPr>
            <w:r>
              <w:rPr>
                <w:bCs/>
                <w:color w:val="000000"/>
                <w:kern w:val="0"/>
                <w:sz w:val="20"/>
                <w:szCs w:val="20"/>
              </w:rPr>
              <w:t>主管部门及代码</w:t>
            </w:r>
          </w:p>
        </w:tc>
        <w:tc>
          <w:tcPr>
            <w:tcW w:w="18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sz w:val="20"/>
                <w:szCs w:val="20"/>
              </w:rPr>
            </w:pPr>
            <w:r>
              <w:rPr>
                <w:sz w:val="20"/>
                <w:szCs w:val="20"/>
              </w:rPr>
              <w:t>四川省经济合作局</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实施单位</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0"/>
                <w:szCs w:val="20"/>
              </w:rPr>
            </w:pPr>
            <w:r>
              <w:rPr>
                <w:color w:val="000000"/>
                <w:sz w:val="20"/>
                <w:szCs w:val="20"/>
              </w:rPr>
              <w:t>四川省人民政府驻上海办事处</w:t>
            </w:r>
          </w:p>
        </w:tc>
      </w:tr>
      <w:tr>
        <w:tblPrEx>
          <w:tblCellMar>
            <w:top w:w="0" w:type="dxa"/>
            <w:left w:w="108" w:type="dxa"/>
            <w:bottom w:w="0" w:type="dxa"/>
            <w:right w:w="108" w:type="dxa"/>
          </w:tblCellMar>
        </w:tblPrEx>
        <w:trPr>
          <w:trHeight w:val="341" w:hRule="atLeast"/>
          <w:jc w:val="center"/>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sz w:val="20"/>
                <w:szCs w:val="20"/>
              </w:rPr>
            </w:pPr>
            <w:r>
              <w:rPr>
                <w:bCs/>
                <w:color w:val="000000"/>
                <w:kern w:val="0"/>
                <w:sz w:val="20"/>
                <w:szCs w:val="20"/>
              </w:rPr>
              <w:t>项目预算执行情况</w:t>
            </w:r>
            <w:r>
              <w:rPr>
                <w:bCs/>
                <w:color w:val="000000"/>
                <w:kern w:val="0"/>
                <w:sz w:val="20"/>
                <w:szCs w:val="20"/>
              </w:rPr>
              <w:br w:type="textWrapping"/>
            </w:r>
            <w:r>
              <w:rPr>
                <w:bCs/>
                <w:color w:val="000000"/>
                <w:kern w:val="0"/>
                <w:sz w:val="20"/>
                <w:szCs w:val="20"/>
              </w:rPr>
              <w:t>（万元）</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bCs/>
                <w:color w:val="000000"/>
                <w:kern w:val="0"/>
                <w:sz w:val="20"/>
                <w:szCs w:val="20"/>
              </w:rPr>
            </w:pPr>
            <w:r>
              <w:rPr>
                <w:bCs/>
                <w:color w:val="000000"/>
                <w:kern w:val="0"/>
                <w:sz w:val="20"/>
                <w:szCs w:val="20"/>
              </w:rPr>
              <w:t>预算数：</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sz w:val="20"/>
                <w:szCs w:val="20"/>
              </w:rPr>
            </w:pPr>
            <w:r>
              <w:rPr>
                <w:sz w:val="20"/>
                <w:szCs w:val="20"/>
              </w:rPr>
              <w:t>151.4</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bCs/>
                <w:color w:val="000000"/>
                <w:kern w:val="0"/>
                <w:sz w:val="20"/>
                <w:szCs w:val="20"/>
              </w:rPr>
            </w:pPr>
            <w:r>
              <w:rPr>
                <w:bCs/>
                <w:color w:val="000000"/>
                <w:kern w:val="0"/>
                <w:sz w:val="20"/>
                <w:szCs w:val="20"/>
              </w:rPr>
              <w:t>执行数：</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sz w:val="20"/>
                <w:szCs w:val="20"/>
              </w:rPr>
              <w:t>149.16</w:t>
            </w:r>
          </w:p>
        </w:tc>
      </w:tr>
      <w:tr>
        <w:tblPrEx>
          <w:tblCellMar>
            <w:top w:w="0" w:type="dxa"/>
            <w:left w:w="108" w:type="dxa"/>
            <w:bottom w:w="0" w:type="dxa"/>
            <w:right w:w="108" w:type="dxa"/>
          </w:tblCellMar>
        </w:tblPrEx>
        <w:trPr>
          <w:trHeight w:val="577" w:hRule="atLeast"/>
          <w:jc w:val="center"/>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bCs/>
                <w:color w:val="000000"/>
                <w:kern w:val="0"/>
                <w:sz w:val="20"/>
                <w:szCs w:val="20"/>
              </w:rPr>
            </w:pPr>
            <w:r>
              <w:rPr>
                <w:bCs/>
                <w:color w:val="000000"/>
                <w:kern w:val="0"/>
                <w:sz w:val="20"/>
                <w:szCs w:val="20"/>
              </w:rPr>
              <w:t>其中：财政拨款</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sz w:val="20"/>
                <w:szCs w:val="20"/>
              </w:rPr>
            </w:pPr>
            <w:r>
              <w:rPr>
                <w:sz w:val="20"/>
                <w:szCs w:val="20"/>
              </w:rPr>
              <w:t>151.4</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bCs/>
                <w:color w:val="000000"/>
                <w:kern w:val="0"/>
                <w:sz w:val="20"/>
                <w:szCs w:val="20"/>
              </w:rPr>
            </w:pPr>
            <w:r>
              <w:rPr>
                <w:bCs/>
                <w:color w:val="000000"/>
                <w:kern w:val="0"/>
                <w:sz w:val="20"/>
                <w:szCs w:val="20"/>
              </w:rPr>
              <w:t>其中：财政拨款</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sz w:val="20"/>
                <w:szCs w:val="20"/>
              </w:rPr>
              <w:t>149.16</w:t>
            </w:r>
          </w:p>
        </w:tc>
      </w:tr>
      <w:tr>
        <w:tblPrEx>
          <w:tblCellMar>
            <w:top w:w="0" w:type="dxa"/>
            <w:left w:w="108" w:type="dxa"/>
            <w:bottom w:w="0" w:type="dxa"/>
            <w:right w:w="108" w:type="dxa"/>
          </w:tblCellMar>
        </w:tblPrEx>
        <w:trPr>
          <w:trHeight w:val="359" w:hRule="atLeast"/>
          <w:jc w:val="center"/>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bCs/>
                <w:color w:val="000000"/>
                <w:kern w:val="0"/>
                <w:sz w:val="20"/>
                <w:szCs w:val="20"/>
              </w:rPr>
            </w:pPr>
            <w:r>
              <w:rPr>
                <w:bCs/>
                <w:color w:val="000000"/>
                <w:kern w:val="0"/>
                <w:sz w:val="20"/>
                <w:szCs w:val="20"/>
              </w:rPr>
              <w:t>其他资金</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sz w:val="20"/>
                <w:szCs w:val="20"/>
              </w:rPr>
            </w:pPr>
            <w:r>
              <w:rPr>
                <w:sz w:val="20"/>
                <w:szCs w:val="20"/>
              </w:rPr>
              <w:t>0.00</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bCs/>
                <w:color w:val="000000"/>
                <w:kern w:val="0"/>
                <w:sz w:val="20"/>
                <w:szCs w:val="20"/>
              </w:rPr>
            </w:pPr>
            <w:r>
              <w:rPr>
                <w:bCs/>
                <w:color w:val="000000"/>
                <w:kern w:val="0"/>
                <w:sz w:val="20"/>
                <w:szCs w:val="20"/>
              </w:rPr>
              <w:t>其他资金</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0"/>
                <w:szCs w:val="20"/>
              </w:rPr>
            </w:pPr>
            <w:r>
              <w:rPr>
                <w:color w:val="000000"/>
                <w:sz w:val="20"/>
                <w:szCs w:val="20"/>
              </w:rPr>
              <w:t>0.00</w:t>
            </w:r>
          </w:p>
        </w:tc>
      </w:tr>
      <w:tr>
        <w:tblPrEx>
          <w:tblCellMar>
            <w:top w:w="0" w:type="dxa"/>
            <w:left w:w="108" w:type="dxa"/>
            <w:bottom w:w="0" w:type="dxa"/>
            <w:right w:w="108" w:type="dxa"/>
          </w:tblCellMar>
        </w:tblPrEx>
        <w:trPr>
          <w:trHeight w:val="300" w:hRule="atLeast"/>
          <w:jc w:val="center"/>
        </w:trPr>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年度总体目标</w:t>
            </w:r>
          </w:p>
          <w:p>
            <w:pPr>
              <w:widowControl/>
              <w:spacing w:line="320" w:lineRule="exact"/>
              <w:jc w:val="center"/>
              <w:textAlignment w:val="center"/>
              <w:rPr>
                <w:bCs/>
                <w:color w:val="000000"/>
                <w:kern w:val="0"/>
                <w:sz w:val="20"/>
                <w:szCs w:val="20"/>
              </w:rPr>
            </w:pPr>
            <w:r>
              <w:rPr>
                <w:bCs/>
                <w:color w:val="000000"/>
                <w:kern w:val="0"/>
                <w:sz w:val="20"/>
                <w:szCs w:val="20"/>
              </w:rPr>
              <w:t>完成情况</w:t>
            </w:r>
          </w:p>
        </w:tc>
        <w:tc>
          <w:tcPr>
            <w:tcW w:w="20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预期目标</w:t>
            </w:r>
          </w:p>
        </w:tc>
        <w:tc>
          <w:tcPr>
            <w:tcW w:w="24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目标实际完成情况</w:t>
            </w:r>
          </w:p>
        </w:tc>
      </w:tr>
      <w:tr>
        <w:tblPrEx>
          <w:tblCellMar>
            <w:top w:w="0" w:type="dxa"/>
            <w:left w:w="108" w:type="dxa"/>
            <w:bottom w:w="0" w:type="dxa"/>
            <w:right w:w="108" w:type="dxa"/>
          </w:tblCellMar>
        </w:tblPrEx>
        <w:trPr>
          <w:trHeight w:val="550" w:hRule="atLeast"/>
          <w:jc w:val="center"/>
        </w:trPr>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p>
        </w:tc>
        <w:tc>
          <w:tcPr>
            <w:tcW w:w="204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top"/>
              <w:rPr>
                <w:color w:val="000000"/>
                <w:sz w:val="20"/>
                <w:szCs w:val="20"/>
              </w:rPr>
            </w:pPr>
            <w:r>
              <w:rPr>
                <w:color w:val="000000"/>
                <w:sz w:val="20"/>
                <w:szCs w:val="20"/>
              </w:rPr>
              <w:t>通过对办公用房维修改造，对电线网线等进行改造，改善办公环境，消除安全隐患，营造整洁美观的办公环境，提高办事处对外形象。</w:t>
            </w:r>
          </w:p>
        </w:tc>
        <w:tc>
          <w:tcPr>
            <w:tcW w:w="24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rPr>
                <w:color w:val="000000"/>
                <w:sz w:val="20"/>
                <w:szCs w:val="20"/>
              </w:rPr>
            </w:pPr>
            <w:r>
              <w:rPr>
                <w:color w:val="000000"/>
                <w:sz w:val="20"/>
                <w:szCs w:val="20"/>
              </w:rPr>
              <w:t>通过对办公用房维修改造，对电线网线等进行改造，消除了安全隐患，营造了整洁美观的办公环境，提高了办事处对外形象。</w:t>
            </w:r>
          </w:p>
        </w:tc>
      </w:tr>
      <w:tr>
        <w:tblPrEx>
          <w:tblCellMar>
            <w:top w:w="0" w:type="dxa"/>
            <w:left w:w="108" w:type="dxa"/>
            <w:bottom w:w="0" w:type="dxa"/>
            <w:right w:w="108" w:type="dxa"/>
          </w:tblCellMar>
        </w:tblPrEx>
        <w:trPr>
          <w:trHeight w:val="651" w:hRule="atLeast"/>
          <w:jc w:val="center"/>
        </w:trPr>
        <w:tc>
          <w:tcPr>
            <w:tcW w:w="52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年</w:t>
            </w:r>
          </w:p>
          <w:p>
            <w:pPr>
              <w:widowControl/>
              <w:spacing w:line="320" w:lineRule="exact"/>
              <w:jc w:val="center"/>
              <w:textAlignment w:val="center"/>
              <w:rPr>
                <w:bCs/>
                <w:color w:val="000000"/>
                <w:kern w:val="0"/>
                <w:sz w:val="20"/>
                <w:szCs w:val="20"/>
              </w:rPr>
            </w:pPr>
            <w:r>
              <w:rPr>
                <w:bCs/>
                <w:color w:val="000000"/>
                <w:kern w:val="0"/>
                <w:sz w:val="20"/>
                <w:szCs w:val="20"/>
              </w:rPr>
              <w:t>度</w:t>
            </w:r>
          </w:p>
          <w:p>
            <w:pPr>
              <w:widowControl/>
              <w:spacing w:line="320" w:lineRule="exact"/>
              <w:jc w:val="center"/>
              <w:textAlignment w:val="center"/>
              <w:rPr>
                <w:bCs/>
                <w:color w:val="000000"/>
                <w:kern w:val="0"/>
                <w:sz w:val="20"/>
                <w:szCs w:val="20"/>
              </w:rPr>
            </w:pPr>
            <w:r>
              <w:rPr>
                <w:bCs/>
                <w:color w:val="000000"/>
                <w:kern w:val="0"/>
                <w:sz w:val="20"/>
                <w:szCs w:val="20"/>
              </w:rPr>
              <w:t>绩</w:t>
            </w:r>
          </w:p>
          <w:p>
            <w:pPr>
              <w:widowControl/>
              <w:spacing w:line="320" w:lineRule="exact"/>
              <w:jc w:val="center"/>
              <w:textAlignment w:val="center"/>
              <w:rPr>
                <w:bCs/>
                <w:color w:val="000000"/>
                <w:kern w:val="0"/>
                <w:sz w:val="20"/>
                <w:szCs w:val="20"/>
              </w:rPr>
            </w:pPr>
            <w:r>
              <w:rPr>
                <w:bCs/>
                <w:color w:val="000000"/>
                <w:kern w:val="0"/>
                <w:sz w:val="20"/>
                <w:szCs w:val="20"/>
              </w:rPr>
              <w:t>效</w:t>
            </w:r>
          </w:p>
          <w:p>
            <w:pPr>
              <w:widowControl/>
              <w:spacing w:line="320" w:lineRule="exact"/>
              <w:jc w:val="center"/>
              <w:textAlignment w:val="center"/>
              <w:rPr>
                <w:bCs/>
                <w:color w:val="000000"/>
                <w:kern w:val="0"/>
                <w:sz w:val="20"/>
                <w:szCs w:val="20"/>
              </w:rPr>
            </w:pPr>
            <w:r>
              <w:rPr>
                <w:bCs/>
                <w:color w:val="000000"/>
                <w:kern w:val="0"/>
                <w:sz w:val="20"/>
                <w:szCs w:val="20"/>
              </w:rPr>
              <w:t>指</w:t>
            </w:r>
          </w:p>
          <w:p>
            <w:pPr>
              <w:widowControl/>
              <w:spacing w:line="320" w:lineRule="exact"/>
              <w:jc w:val="center"/>
              <w:textAlignment w:val="center"/>
              <w:rPr>
                <w:bCs/>
                <w:color w:val="000000"/>
                <w:kern w:val="0"/>
                <w:sz w:val="20"/>
                <w:szCs w:val="20"/>
              </w:rPr>
            </w:pPr>
            <w:r>
              <w:rPr>
                <w:bCs/>
                <w:color w:val="000000"/>
                <w:kern w:val="0"/>
                <w:sz w:val="20"/>
                <w:szCs w:val="20"/>
              </w:rPr>
              <w:t>标</w:t>
            </w:r>
          </w:p>
          <w:p>
            <w:pPr>
              <w:widowControl/>
              <w:spacing w:line="320" w:lineRule="exact"/>
              <w:jc w:val="center"/>
              <w:textAlignment w:val="center"/>
              <w:rPr>
                <w:bCs/>
                <w:color w:val="000000"/>
                <w:kern w:val="0"/>
                <w:sz w:val="20"/>
                <w:szCs w:val="20"/>
              </w:rPr>
            </w:pPr>
            <w:r>
              <w:rPr>
                <w:bCs/>
                <w:color w:val="000000"/>
                <w:kern w:val="0"/>
                <w:sz w:val="20"/>
                <w:szCs w:val="20"/>
              </w:rPr>
              <w:t>完</w:t>
            </w:r>
          </w:p>
          <w:p>
            <w:pPr>
              <w:widowControl/>
              <w:spacing w:line="320" w:lineRule="exact"/>
              <w:jc w:val="center"/>
              <w:textAlignment w:val="center"/>
              <w:rPr>
                <w:bCs/>
                <w:color w:val="000000"/>
                <w:kern w:val="0"/>
                <w:sz w:val="20"/>
                <w:szCs w:val="20"/>
              </w:rPr>
            </w:pPr>
            <w:r>
              <w:rPr>
                <w:bCs/>
                <w:color w:val="000000"/>
                <w:kern w:val="0"/>
                <w:sz w:val="20"/>
                <w:szCs w:val="20"/>
              </w:rPr>
              <w:t>成</w:t>
            </w:r>
          </w:p>
          <w:p>
            <w:pPr>
              <w:widowControl/>
              <w:spacing w:line="320" w:lineRule="exact"/>
              <w:jc w:val="center"/>
              <w:textAlignment w:val="center"/>
              <w:rPr>
                <w:bCs/>
                <w:color w:val="000000"/>
                <w:kern w:val="0"/>
                <w:sz w:val="20"/>
                <w:szCs w:val="20"/>
              </w:rPr>
            </w:pPr>
            <w:r>
              <w:rPr>
                <w:bCs/>
                <w:color w:val="000000"/>
                <w:kern w:val="0"/>
                <w:sz w:val="20"/>
                <w:szCs w:val="20"/>
              </w:rPr>
              <w:t>情</w:t>
            </w:r>
          </w:p>
          <w:p>
            <w:pPr>
              <w:widowControl/>
              <w:spacing w:line="320" w:lineRule="exact"/>
              <w:jc w:val="center"/>
              <w:textAlignment w:val="center"/>
              <w:rPr>
                <w:bCs/>
                <w:color w:val="000000"/>
                <w:kern w:val="0"/>
                <w:sz w:val="20"/>
                <w:szCs w:val="20"/>
              </w:rPr>
            </w:pPr>
            <w:r>
              <w:rPr>
                <w:bCs/>
                <w:color w:val="000000"/>
                <w:kern w:val="0"/>
                <w:sz w:val="20"/>
                <w:szCs w:val="20"/>
              </w:rPr>
              <w:t>况</w:t>
            </w:r>
          </w:p>
        </w:tc>
        <w:tc>
          <w:tcPr>
            <w:tcW w:w="380"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一级</w:t>
            </w:r>
          </w:p>
          <w:p>
            <w:pPr>
              <w:widowControl/>
              <w:spacing w:line="320" w:lineRule="exact"/>
              <w:jc w:val="center"/>
              <w:textAlignment w:val="center"/>
              <w:rPr>
                <w:bCs/>
                <w:color w:val="000000"/>
                <w:kern w:val="0"/>
                <w:sz w:val="20"/>
                <w:szCs w:val="20"/>
              </w:rPr>
            </w:pPr>
            <w:r>
              <w:rPr>
                <w:bCs/>
                <w:color w:val="000000"/>
                <w:kern w:val="0"/>
                <w:sz w:val="20"/>
                <w:szCs w:val="20"/>
              </w:rPr>
              <w:t>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二级指标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三级指标</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预期指标值</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实际完成指标值</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bCs/>
                <w:color w:val="000000"/>
                <w:sz w:val="20"/>
                <w:szCs w:val="20"/>
              </w:rPr>
            </w:pPr>
          </w:p>
        </w:tc>
        <w:tc>
          <w:tcPr>
            <w:tcW w:w="380"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r>
              <w:rPr>
                <w:bCs/>
                <w:color w:val="000000"/>
                <w:kern w:val="0"/>
                <w:sz w:val="20"/>
                <w:szCs w:val="20"/>
              </w:rPr>
              <w:t>完成</w:t>
            </w:r>
          </w:p>
          <w:p>
            <w:pPr>
              <w:widowControl/>
              <w:spacing w:line="320" w:lineRule="exact"/>
              <w:jc w:val="center"/>
              <w:textAlignment w:val="center"/>
              <w:rPr>
                <w:bCs/>
                <w:color w:val="000000"/>
                <w:kern w:val="0"/>
                <w:sz w:val="20"/>
                <w:szCs w:val="20"/>
              </w:rPr>
            </w:pPr>
            <w:r>
              <w:rPr>
                <w:bCs/>
                <w:color w:val="000000"/>
                <w:kern w:val="0"/>
                <w:sz w:val="20"/>
                <w:szCs w:val="20"/>
              </w:rPr>
              <w:t>指标</w:t>
            </w:r>
          </w:p>
        </w:tc>
        <w:tc>
          <w:tcPr>
            <w:tcW w:w="52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bCs/>
                <w:color w:val="000000"/>
                <w:kern w:val="0"/>
                <w:sz w:val="20"/>
                <w:szCs w:val="20"/>
              </w:rPr>
            </w:pPr>
            <w:r>
              <w:rPr>
                <w:bCs/>
                <w:color w:val="000000"/>
                <w:kern w:val="0"/>
                <w:sz w:val="20"/>
                <w:szCs w:val="20"/>
              </w:rPr>
              <w:t>数量指标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办公用房维修改造</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≤1700㎡</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≤1700㎡</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380"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52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sz w:val="20"/>
                <w:szCs w:val="20"/>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业务用房维修改造</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rFonts w:hint="eastAsia" w:ascii="宋体" w:hAnsi="宋体" w:cs="宋体"/>
                <w:color w:val="000000"/>
                <w:sz w:val="20"/>
                <w:szCs w:val="20"/>
              </w:rPr>
              <w:t>≦</w:t>
            </w:r>
            <w:r>
              <w:rPr>
                <w:color w:val="000000"/>
                <w:sz w:val="20"/>
                <w:szCs w:val="20"/>
              </w:rPr>
              <w:t>1020㎡</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rFonts w:hint="eastAsia" w:ascii="宋体" w:hAnsi="宋体" w:cs="宋体"/>
                <w:color w:val="000000"/>
                <w:sz w:val="20"/>
                <w:szCs w:val="20"/>
              </w:rPr>
              <w:t>≦</w:t>
            </w:r>
            <w:r>
              <w:rPr>
                <w:color w:val="000000"/>
                <w:sz w:val="20"/>
                <w:szCs w:val="20"/>
              </w:rPr>
              <w:t>1020㎡</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bCs/>
                <w:color w:val="000000"/>
                <w:kern w:val="0"/>
                <w:sz w:val="20"/>
                <w:szCs w:val="20"/>
              </w:rPr>
            </w:pPr>
          </w:p>
        </w:tc>
        <w:tc>
          <w:tcPr>
            <w:tcW w:w="52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bCs/>
                <w:color w:val="000000"/>
                <w:kern w:val="0"/>
                <w:sz w:val="20"/>
                <w:szCs w:val="20"/>
              </w:rPr>
            </w:pPr>
            <w:r>
              <w:rPr>
                <w:bCs/>
                <w:color w:val="000000"/>
                <w:kern w:val="0"/>
                <w:sz w:val="20"/>
                <w:szCs w:val="20"/>
              </w:rPr>
              <w:t>质量指标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办公用房维修改造</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安全整洁美观</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安全整洁美观</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380"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sz w:val="20"/>
                <w:szCs w:val="20"/>
              </w:rPr>
            </w:pPr>
          </w:p>
        </w:tc>
        <w:tc>
          <w:tcPr>
            <w:tcW w:w="523"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sz w:val="20"/>
                <w:szCs w:val="20"/>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业务用房维修改造</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正常使用卫生安全美观</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正常使用卫生安全美观</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bCs/>
                <w:color w:val="000000"/>
                <w:kern w:val="0"/>
                <w:sz w:val="20"/>
                <w:szCs w:val="20"/>
              </w:rPr>
            </w:pPr>
            <w:r>
              <w:rPr>
                <w:bCs/>
                <w:color w:val="000000"/>
                <w:kern w:val="0"/>
                <w:sz w:val="20"/>
                <w:szCs w:val="20"/>
              </w:rPr>
              <w:t>时效指标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完成时间</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4月底</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10月底</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bCs/>
                <w:color w:val="000000"/>
                <w:kern w:val="0"/>
                <w:sz w:val="20"/>
                <w:szCs w:val="20"/>
              </w:rPr>
            </w:pPr>
            <w:r>
              <w:rPr>
                <w:bCs/>
                <w:color w:val="000000"/>
                <w:kern w:val="0"/>
                <w:sz w:val="20"/>
                <w:szCs w:val="20"/>
              </w:rPr>
              <w:t>成本指标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维修成本</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rFonts w:hint="eastAsia" w:ascii="宋体" w:hAnsi="宋体" w:cs="宋体"/>
                <w:color w:val="000000"/>
                <w:sz w:val="20"/>
                <w:szCs w:val="20"/>
              </w:rPr>
              <w:t>≦</w:t>
            </w:r>
            <w:r>
              <w:rPr>
                <w:color w:val="000000"/>
                <w:sz w:val="20"/>
                <w:szCs w:val="20"/>
              </w:rPr>
              <w:t>160万元</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149.16万元</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bCs/>
                <w:color w:val="000000"/>
                <w:kern w:val="0"/>
                <w:sz w:val="20"/>
                <w:szCs w:val="20"/>
              </w:rPr>
            </w:pPr>
            <w:r>
              <w:rPr>
                <w:bCs/>
                <w:color w:val="000000"/>
                <w:kern w:val="0"/>
                <w:sz w:val="20"/>
                <w:szCs w:val="20"/>
              </w:rPr>
              <w:t>效益指标</w:t>
            </w:r>
          </w:p>
        </w:tc>
        <w:tc>
          <w:tcPr>
            <w:tcW w:w="523" w:type="pc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bCs/>
                <w:color w:val="000000"/>
                <w:kern w:val="0"/>
                <w:sz w:val="20"/>
                <w:szCs w:val="20"/>
              </w:rPr>
            </w:pPr>
            <w:r>
              <w:rPr>
                <w:bCs/>
                <w:color w:val="000000"/>
                <w:kern w:val="0"/>
                <w:sz w:val="20"/>
                <w:szCs w:val="20"/>
              </w:rPr>
              <w:t>经济效益指标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国有资产</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保值增值</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bottom"/>
              <w:rPr>
                <w:color w:val="000000"/>
                <w:sz w:val="20"/>
                <w:szCs w:val="20"/>
              </w:rPr>
            </w:pPr>
            <w:r>
              <w:rPr>
                <w:color w:val="000000"/>
                <w:sz w:val="20"/>
                <w:szCs w:val="20"/>
              </w:rPr>
              <w:t>保值增值</w:t>
            </w:r>
          </w:p>
        </w:tc>
      </w:tr>
      <w:tr>
        <w:tblPrEx>
          <w:tblCellMar>
            <w:top w:w="0" w:type="dxa"/>
            <w:left w:w="108" w:type="dxa"/>
            <w:bottom w:w="0" w:type="dxa"/>
            <w:right w:w="108" w:type="dxa"/>
          </w:tblCellMar>
        </w:tblPrEx>
        <w:trPr>
          <w:trHeight w:val="63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bCs/>
                <w:color w:val="000000"/>
                <w:kern w:val="0"/>
                <w:sz w:val="20"/>
                <w:szCs w:val="20"/>
              </w:rPr>
            </w:pPr>
          </w:p>
        </w:tc>
        <w:tc>
          <w:tcPr>
            <w:tcW w:w="523"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bCs/>
                <w:color w:val="000000"/>
                <w:kern w:val="0"/>
                <w:sz w:val="20"/>
                <w:szCs w:val="20"/>
              </w:rPr>
            </w:pPr>
            <w:r>
              <w:rPr>
                <w:bCs/>
                <w:color w:val="000000"/>
                <w:kern w:val="0"/>
                <w:sz w:val="20"/>
                <w:szCs w:val="20"/>
              </w:rPr>
              <w:t>社会效益指标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color w:val="000000"/>
                <w:sz w:val="20"/>
                <w:szCs w:val="20"/>
              </w:rPr>
              <w:t>省政府对外形象</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color w:val="000000"/>
                <w:sz w:val="20"/>
                <w:szCs w:val="20"/>
              </w:rPr>
              <w:t>维护提升形象</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color w:val="000000"/>
                <w:sz w:val="20"/>
                <w:szCs w:val="20"/>
              </w:rPr>
              <w:t>维护提升形象</w:t>
            </w:r>
          </w:p>
        </w:tc>
      </w:tr>
      <w:tr>
        <w:tblPrEx>
          <w:tblCellMar>
            <w:top w:w="0" w:type="dxa"/>
            <w:left w:w="108" w:type="dxa"/>
            <w:bottom w:w="0" w:type="dxa"/>
            <w:right w:w="108" w:type="dxa"/>
          </w:tblCellMar>
        </w:tblPrEx>
        <w:trPr>
          <w:trHeight w:val="412"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23" w:type="pct"/>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0"/>
                <w:szCs w:val="20"/>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color w:val="000000"/>
                <w:sz w:val="20"/>
                <w:szCs w:val="20"/>
              </w:rPr>
              <w:t>消除安全隐患</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color w:val="000000"/>
                <w:sz w:val="20"/>
                <w:szCs w:val="20"/>
              </w:rPr>
              <w:t>确保安全</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color w:val="000000"/>
                <w:sz w:val="20"/>
                <w:szCs w:val="20"/>
              </w:rPr>
              <w:t>确保安全</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bCs/>
                <w:color w:val="000000"/>
                <w:kern w:val="0"/>
                <w:sz w:val="20"/>
                <w:szCs w:val="20"/>
              </w:rPr>
            </w:pPr>
            <w:r>
              <w:rPr>
                <w:bCs/>
                <w:color w:val="000000"/>
                <w:kern w:val="0"/>
                <w:sz w:val="20"/>
                <w:szCs w:val="20"/>
              </w:rPr>
              <w:t>生态效益指标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提高工作、生活条件和环境条件</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良性循环</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良性循环</w:t>
            </w:r>
          </w:p>
        </w:tc>
      </w:tr>
      <w:tr>
        <w:tblPrEx>
          <w:tblCellMar>
            <w:top w:w="0" w:type="dxa"/>
            <w:left w:w="108" w:type="dxa"/>
            <w:bottom w:w="0" w:type="dxa"/>
            <w:right w:w="108" w:type="dxa"/>
          </w:tblCellMar>
        </w:tblPrEx>
        <w:trPr>
          <w:trHeight w:val="70" w:hRule="atLeast"/>
          <w:jc w:val="center"/>
        </w:trPr>
        <w:tc>
          <w:tcPr>
            <w:tcW w:w="523"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0"/>
                <w:szCs w:val="20"/>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0"/>
                <w:szCs w:val="20"/>
              </w:rPr>
            </w:pPr>
            <w:r>
              <w:rPr>
                <w:bCs/>
                <w:color w:val="000000"/>
                <w:kern w:val="0"/>
                <w:sz w:val="20"/>
                <w:szCs w:val="20"/>
              </w:rPr>
              <w:t>满意度指标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bCs/>
                <w:color w:val="000000"/>
                <w:kern w:val="0"/>
                <w:sz w:val="20"/>
                <w:szCs w:val="20"/>
              </w:rPr>
            </w:pPr>
            <w:r>
              <w:rPr>
                <w:bCs/>
                <w:color w:val="000000"/>
                <w:kern w:val="0"/>
                <w:sz w:val="20"/>
                <w:szCs w:val="20"/>
              </w:rPr>
              <w:t>满意度指标</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群众和职工满意度</w:t>
            </w:r>
          </w:p>
        </w:tc>
        <w:tc>
          <w:tcPr>
            <w:tcW w:w="9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≥90%</w:t>
            </w:r>
          </w:p>
        </w:tc>
        <w:tc>
          <w:tcPr>
            <w:tcW w:w="1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color w:val="000000"/>
                <w:sz w:val="20"/>
                <w:szCs w:val="20"/>
              </w:rPr>
            </w:pPr>
            <w:r>
              <w:rPr>
                <w:color w:val="000000"/>
                <w:sz w:val="20"/>
                <w:szCs w:val="20"/>
              </w:rPr>
              <w:t>≥95%</w:t>
            </w:r>
          </w:p>
        </w:tc>
      </w:tr>
    </w:tbl>
    <w:p>
      <w:pPr>
        <w:widowControl/>
        <w:adjustRightInd w:val="0"/>
        <w:snapToGrid w:val="0"/>
        <w:spacing w:line="580" w:lineRule="exact"/>
        <w:contextualSpacing/>
        <w:jc w:val="left"/>
        <w:rPr>
          <w:color w:val="000000"/>
          <w:kern w:val="0"/>
          <w:sz w:val="20"/>
          <w:szCs w:val="20"/>
          <w:shd w:val="clear" w:color="auto" w:fill="FFFFFF"/>
        </w:rPr>
      </w:pPr>
    </w:p>
    <w:p>
      <w:pPr>
        <w:spacing w:line="600" w:lineRule="exact"/>
        <w:jc w:val="center"/>
        <w:outlineLvl w:val="0"/>
        <w:rPr>
          <w:rStyle w:val="24"/>
          <w:rFonts w:ascii="黑体" w:hAnsi="黑体" w:eastAsia="黑体"/>
          <w:b w:val="0"/>
        </w:rPr>
      </w:pPr>
      <w:bookmarkStart w:id="79" w:name="_Toc113284445"/>
      <w:r>
        <w:rPr>
          <w:rFonts w:hint="eastAsia" w:ascii="黑体" w:hAnsi="黑体" w:eastAsia="黑体"/>
          <w:sz w:val="44"/>
          <w:szCs w:val="44"/>
        </w:rPr>
        <w:t>第</w:t>
      </w:r>
      <w:r>
        <w:rPr>
          <w:rStyle w:val="24"/>
          <w:rFonts w:hint="eastAsia" w:ascii="黑体" w:hAnsi="黑体" w:eastAsia="黑体"/>
          <w:b w:val="0"/>
        </w:rPr>
        <w:t>五部分 附表</w:t>
      </w:r>
      <w:bookmarkEnd w:id="75"/>
      <w:bookmarkEnd w:id="78"/>
      <w:bookmarkEnd w:id="79"/>
      <w:bookmarkStart w:id="80" w:name="_Toc15396619"/>
    </w:p>
    <w:p>
      <w:pPr>
        <w:pStyle w:val="2"/>
        <w:spacing w:before="93"/>
      </w:pPr>
    </w:p>
    <w:p>
      <w:pPr>
        <w:pStyle w:val="4"/>
        <w:spacing w:before="0" w:after="0" w:line="600" w:lineRule="exact"/>
        <w:ind w:firstLine="640" w:firstLineChars="200"/>
        <w:rPr>
          <w:rStyle w:val="25"/>
          <w:rFonts w:ascii="仿宋_GB2312" w:hAnsi="仿宋_GB2312" w:eastAsia="仿宋_GB2312" w:cs="仿宋_GB2312"/>
          <w:b w:val="0"/>
          <w:bCs w:val="0"/>
          <w:color w:val="000000" w:themeColor="text1"/>
        </w:rPr>
      </w:pPr>
      <w:bookmarkStart w:id="81" w:name="_Toc113284446"/>
      <w:r>
        <w:rPr>
          <w:rStyle w:val="25"/>
          <w:rFonts w:hint="eastAsia" w:ascii="仿宋_GB2312" w:hAnsi="仿宋_GB2312" w:eastAsia="仿宋_GB2312" w:cs="仿宋_GB2312"/>
          <w:b w:val="0"/>
          <w:bCs w:val="0"/>
          <w:color w:val="000000" w:themeColor="text1"/>
        </w:rPr>
        <w:t>一、收入支出决算总表</w:t>
      </w:r>
      <w:bookmarkEnd w:id="80"/>
      <w:bookmarkEnd w:id="81"/>
    </w:p>
    <w:p>
      <w:pPr>
        <w:pStyle w:val="4"/>
        <w:spacing w:before="0" w:after="0" w:line="600" w:lineRule="exact"/>
        <w:ind w:firstLine="640" w:firstLineChars="200"/>
        <w:rPr>
          <w:rStyle w:val="25"/>
          <w:rFonts w:ascii="仿宋_GB2312" w:hAnsi="仿宋_GB2312" w:eastAsia="仿宋_GB2312" w:cs="仿宋_GB2312"/>
          <w:b w:val="0"/>
          <w:bCs w:val="0"/>
          <w:color w:val="000000" w:themeColor="text1"/>
        </w:rPr>
      </w:pPr>
      <w:bookmarkStart w:id="82" w:name="_Toc15396620"/>
      <w:bookmarkStart w:id="83" w:name="_Toc113284447"/>
      <w:r>
        <w:rPr>
          <w:rStyle w:val="25"/>
          <w:rFonts w:hint="eastAsia" w:ascii="仿宋_GB2312" w:hAnsi="仿宋_GB2312" w:eastAsia="仿宋_GB2312" w:cs="仿宋_GB2312"/>
          <w:b w:val="0"/>
          <w:bCs w:val="0"/>
          <w:color w:val="000000" w:themeColor="text1"/>
        </w:rPr>
        <w:t>二、收入决算表</w:t>
      </w:r>
      <w:bookmarkEnd w:id="82"/>
      <w:bookmarkEnd w:id="83"/>
    </w:p>
    <w:p>
      <w:pPr>
        <w:pStyle w:val="4"/>
        <w:spacing w:before="0" w:after="0" w:line="600" w:lineRule="exact"/>
        <w:ind w:firstLine="640" w:firstLineChars="200"/>
        <w:rPr>
          <w:rFonts w:ascii="仿宋_GB2312" w:hAnsi="仿宋_GB2312" w:eastAsia="仿宋_GB2312" w:cs="仿宋_GB2312"/>
          <w:color w:val="000000" w:themeColor="text1"/>
        </w:rPr>
      </w:pPr>
      <w:bookmarkStart w:id="84" w:name="_Toc15396621"/>
      <w:bookmarkStart w:id="85" w:name="_Toc113284448"/>
      <w:r>
        <w:rPr>
          <w:rStyle w:val="25"/>
          <w:rFonts w:hint="eastAsia" w:ascii="仿宋_GB2312" w:hAnsi="仿宋_GB2312" w:eastAsia="仿宋_GB2312" w:cs="仿宋_GB2312"/>
          <w:b w:val="0"/>
          <w:bCs w:val="0"/>
        </w:rPr>
        <w:t>三、</w:t>
      </w:r>
      <w:r>
        <w:rPr>
          <w:rFonts w:hint="eastAsia" w:ascii="仿宋_GB2312" w:hAnsi="仿宋_GB2312" w:eastAsia="仿宋_GB2312" w:cs="仿宋_GB2312"/>
          <w:b w:val="0"/>
        </w:rPr>
        <w:t>支</w:t>
      </w:r>
      <w:r>
        <w:rPr>
          <w:rStyle w:val="25"/>
          <w:rFonts w:hint="eastAsia" w:ascii="仿宋_GB2312" w:hAnsi="仿宋_GB2312" w:eastAsia="仿宋_GB2312" w:cs="仿宋_GB2312"/>
          <w:b w:val="0"/>
          <w:bCs w:val="0"/>
        </w:rPr>
        <w:t>出</w:t>
      </w:r>
      <w:r>
        <w:rPr>
          <w:rStyle w:val="25"/>
          <w:rFonts w:hint="eastAsia" w:ascii="仿宋_GB2312" w:hAnsi="仿宋_GB2312" w:eastAsia="仿宋_GB2312" w:cs="仿宋_GB2312"/>
          <w:b w:val="0"/>
          <w:bCs w:val="0"/>
          <w:color w:val="000000" w:themeColor="text1"/>
        </w:rPr>
        <w:t>决算表</w:t>
      </w:r>
      <w:bookmarkEnd w:id="84"/>
      <w:bookmarkEnd w:id="85"/>
    </w:p>
    <w:p>
      <w:pPr>
        <w:pStyle w:val="4"/>
        <w:spacing w:before="0" w:after="0" w:line="600" w:lineRule="exact"/>
        <w:ind w:firstLine="640" w:firstLineChars="200"/>
        <w:rPr>
          <w:rFonts w:ascii="仿宋_GB2312" w:hAnsi="仿宋_GB2312" w:eastAsia="仿宋_GB2312" w:cs="仿宋_GB2312"/>
          <w:b w:val="0"/>
        </w:rPr>
      </w:pPr>
      <w:bookmarkStart w:id="86" w:name="_Toc113284449"/>
      <w:bookmarkStart w:id="87" w:name="_Toc15396622"/>
      <w:r>
        <w:rPr>
          <w:rStyle w:val="25"/>
          <w:rFonts w:hint="eastAsia" w:ascii="仿宋_GB2312" w:hAnsi="仿宋_GB2312" w:eastAsia="仿宋_GB2312" w:cs="仿宋_GB2312"/>
          <w:b w:val="0"/>
          <w:bCs w:val="0"/>
        </w:rPr>
        <w:t>四、</w:t>
      </w:r>
      <w:r>
        <w:rPr>
          <w:rFonts w:hint="eastAsia" w:ascii="仿宋_GB2312" w:hAnsi="仿宋_GB2312" w:eastAsia="仿宋_GB2312" w:cs="仿宋_GB2312"/>
          <w:b w:val="0"/>
        </w:rPr>
        <w:t>财</w:t>
      </w:r>
      <w:r>
        <w:rPr>
          <w:rStyle w:val="25"/>
          <w:rFonts w:hint="eastAsia" w:ascii="仿宋_GB2312" w:hAnsi="仿宋_GB2312" w:eastAsia="仿宋_GB2312" w:cs="仿宋_GB2312"/>
          <w:b w:val="0"/>
          <w:bCs w:val="0"/>
        </w:rPr>
        <w:t>政拨款收入支出决算总表</w:t>
      </w:r>
      <w:bookmarkEnd w:id="86"/>
      <w:bookmarkEnd w:id="87"/>
    </w:p>
    <w:p>
      <w:pPr>
        <w:pStyle w:val="4"/>
        <w:spacing w:before="0" w:after="0" w:line="600" w:lineRule="exact"/>
        <w:ind w:firstLine="640" w:firstLineChars="200"/>
        <w:rPr>
          <w:rStyle w:val="25"/>
          <w:rFonts w:ascii="仿宋_GB2312" w:hAnsi="仿宋_GB2312" w:eastAsia="仿宋_GB2312" w:cs="仿宋_GB2312"/>
          <w:b w:val="0"/>
          <w:bCs w:val="0"/>
        </w:rPr>
      </w:pPr>
      <w:bookmarkStart w:id="88" w:name="_Toc113284450"/>
      <w:bookmarkStart w:id="89" w:name="_Toc15396623"/>
      <w:r>
        <w:rPr>
          <w:rStyle w:val="25"/>
          <w:rFonts w:hint="eastAsia" w:ascii="仿宋_GB2312" w:hAnsi="仿宋_GB2312" w:eastAsia="仿宋_GB2312" w:cs="仿宋_GB2312"/>
          <w:b w:val="0"/>
          <w:bCs w:val="0"/>
        </w:rPr>
        <w:t>五、</w:t>
      </w:r>
      <w:r>
        <w:rPr>
          <w:rFonts w:hint="eastAsia" w:ascii="仿宋_GB2312" w:hAnsi="仿宋_GB2312" w:eastAsia="仿宋_GB2312" w:cs="仿宋_GB2312"/>
          <w:b w:val="0"/>
        </w:rPr>
        <w:t>财</w:t>
      </w:r>
      <w:r>
        <w:rPr>
          <w:rStyle w:val="25"/>
          <w:rFonts w:hint="eastAsia" w:ascii="仿宋_GB2312" w:hAnsi="仿宋_GB2312" w:eastAsia="仿宋_GB2312" w:cs="仿宋_GB2312"/>
          <w:b w:val="0"/>
          <w:bCs w:val="0"/>
        </w:rPr>
        <w:t>政拨款支出决算明细表</w:t>
      </w:r>
      <w:bookmarkEnd w:id="88"/>
      <w:bookmarkEnd w:id="89"/>
      <w:bookmarkStart w:id="90" w:name="_Toc15396624"/>
    </w:p>
    <w:p>
      <w:pPr>
        <w:pStyle w:val="4"/>
        <w:spacing w:before="0" w:after="0" w:line="600" w:lineRule="exact"/>
        <w:ind w:firstLine="640" w:firstLineChars="200"/>
        <w:rPr>
          <w:rFonts w:ascii="仿宋_GB2312" w:hAnsi="仿宋_GB2312" w:eastAsia="仿宋_GB2312" w:cs="仿宋_GB2312"/>
        </w:rPr>
      </w:pPr>
      <w:bookmarkStart w:id="91" w:name="_Toc113284451"/>
      <w:r>
        <w:rPr>
          <w:rStyle w:val="25"/>
          <w:rFonts w:hint="eastAsia" w:ascii="仿宋_GB2312" w:hAnsi="仿宋_GB2312" w:eastAsia="仿宋_GB2312" w:cs="仿宋_GB2312"/>
          <w:b w:val="0"/>
          <w:bCs w:val="0"/>
        </w:rPr>
        <w:t>六、</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般公共预算财政拨款支出决算表</w:t>
      </w:r>
      <w:bookmarkEnd w:id="90"/>
      <w:bookmarkEnd w:id="91"/>
    </w:p>
    <w:p>
      <w:pPr>
        <w:pStyle w:val="4"/>
        <w:spacing w:before="0" w:after="0" w:line="600" w:lineRule="exact"/>
        <w:ind w:firstLine="640" w:firstLineChars="200"/>
        <w:rPr>
          <w:rFonts w:ascii="仿宋_GB2312" w:hAnsi="仿宋_GB2312" w:eastAsia="仿宋_GB2312" w:cs="仿宋_GB2312"/>
        </w:rPr>
      </w:pPr>
      <w:bookmarkStart w:id="92" w:name="_Toc113284452"/>
      <w:bookmarkStart w:id="93" w:name="_Toc15396625"/>
      <w:r>
        <w:rPr>
          <w:rStyle w:val="25"/>
          <w:rFonts w:hint="eastAsia" w:ascii="仿宋_GB2312" w:hAnsi="仿宋_GB2312" w:eastAsia="仿宋_GB2312" w:cs="仿宋_GB2312"/>
          <w:b w:val="0"/>
          <w:bCs w:val="0"/>
        </w:rPr>
        <w:t>七、</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w:t>
      </w:r>
      <w:r>
        <w:rPr>
          <w:rStyle w:val="25"/>
          <w:rFonts w:hint="eastAsia" w:ascii="仿宋_GB2312" w:hAnsi="仿宋_GB2312" w:eastAsia="仿宋_GB2312" w:cs="仿宋_GB2312"/>
          <w:b w:val="0"/>
          <w:bCs w:val="0"/>
          <w:color w:val="000000" w:themeColor="text1"/>
        </w:rPr>
        <w:t>拨款支出决算明</w:t>
      </w:r>
      <w:r>
        <w:rPr>
          <w:rStyle w:val="25"/>
          <w:rFonts w:hint="eastAsia" w:ascii="仿宋_GB2312" w:hAnsi="仿宋_GB2312" w:eastAsia="仿宋_GB2312" w:cs="仿宋_GB2312"/>
          <w:b w:val="0"/>
          <w:bCs w:val="0"/>
        </w:rPr>
        <w:t>细表</w:t>
      </w:r>
      <w:bookmarkEnd w:id="92"/>
      <w:bookmarkEnd w:id="93"/>
    </w:p>
    <w:p>
      <w:pPr>
        <w:pStyle w:val="4"/>
        <w:spacing w:before="0" w:after="0" w:line="600" w:lineRule="exact"/>
        <w:ind w:firstLine="640" w:firstLineChars="200"/>
        <w:rPr>
          <w:rFonts w:ascii="仿宋_GB2312" w:hAnsi="仿宋_GB2312" w:eastAsia="仿宋_GB2312" w:cs="仿宋_GB2312"/>
        </w:rPr>
      </w:pPr>
      <w:bookmarkStart w:id="94" w:name="_Toc15396626"/>
      <w:bookmarkStart w:id="95" w:name="_Toc113284453"/>
      <w:r>
        <w:rPr>
          <w:rStyle w:val="25"/>
          <w:rFonts w:hint="eastAsia" w:ascii="仿宋_GB2312" w:hAnsi="仿宋_GB2312" w:eastAsia="仿宋_GB2312" w:cs="仿宋_GB2312"/>
          <w:b w:val="0"/>
          <w:bCs w:val="0"/>
        </w:rPr>
        <w:t>八、</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般公共预算财政拨款基本支出决算表</w:t>
      </w:r>
      <w:bookmarkEnd w:id="94"/>
      <w:bookmarkEnd w:id="95"/>
    </w:p>
    <w:p>
      <w:pPr>
        <w:pStyle w:val="4"/>
        <w:spacing w:before="0" w:after="0" w:line="600" w:lineRule="exact"/>
        <w:ind w:firstLine="640" w:firstLineChars="200"/>
        <w:rPr>
          <w:rFonts w:ascii="仿宋_GB2312" w:hAnsi="仿宋_GB2312" w:eastAsia="仿宋_GB2312" w:cs="仿宋_GB2312"/>
        </w:rPr>
      </w:pPr>
      <w:bookmarkStart w:id="96" w:name="_Toc15396627"/>
      <w:bookmarkStart w:id="97" w:name="_Toc113284454"/>
      <w:r>
        <w:rPr>
          <w:rStyle w:val="25"/>
          <w:rFonts w:hint="eastAsia" w:ascii="仿宋_GB2312" w:hAnsi="仿宋_GB2312" w:eastAsia="仿宋_GB2312" w:cs="仿宋_GB2312"/>
          <w:b w:val="0"/>
          <w:bCs w:val="0"/>
        </w:rPr>
        <w:t>九、</w:t>
      </w:r>
      <w:r>
        <w:rPr>
          <w:rFonts w:hint="eastAsia" w:ascii="仿宋_GB2312" w:hAnsi="仿宋_GB2312" w:eastAsia="仿宋_GB2312" w:cs="仿宋_GB2312"/>
          <w:b w:val="0"/>
        </w:rPr>
        <w:t>一</w:t>
      </w:r>
      <w:r>
        <w:rPr>
          <w:rStyle w:val="25"/>
          <w:rFonts w:hint="eastAsia" w:ascii="仿宋_GB2312" w:hAnsi="仿宋_GB2312" w:eastAsia="仿宋_GB2312" w:cs="仿宋_GB2312"/>
          <w:b w:val="0"/>
          <w:bCs w:val="0"/>
        </w:rPr>
        <w:t>般公共预算财政拨款项目支出决算表</w:t>
      </w:r>
      <w:bookmarkEnd w:id="96"/>
      <w:bookmarkEnd w:id="97"/>
    </w:p>
    <w:p>
      <w:pPr>
        <w:pStyle w:val="4"/>
        <w:spacing w:before="0" w:after="0" w:line="600" w:lineRule="exact"/>
        <w:ind w:firstLine="640" w:firstLineChars="200"/>
        <w:rPr>
          <w:rFonts w:ascii="仿宋_GB2312" w:hAnsi="仿宋_GB2312" w:eastAsia="仿宋_GB2312" w:cs="仿宋_GB2312"/>
          <w:color w:val="000000" w:themeColor="text1"/>
        </w:rPr>
      </w:pPr>
      <w:bookmarkStart w:id="98" w:name="_Toc113284455"/>
      <w:bookmarkStart w:id="99" w:name="_Toc15396628"/>
      <w:r>
        <w:rPr>
          <w:rStyle w:val="25"/>
          <w:rFonts w:hint="eastAsia" w:ascii="仿宋_GB2312" w:hAnsi="仿宋_GB2312" w:eastAsia="仿宋_GB2312" w:cs="仿宋_GB2312"/>
          <w:b w:val="0"/>
          <w:bCs w:val="0"/>
          <w:color w:val="000000" w:themeColor="text1"/>
        </w:rPr>
        <w:t>十、</w:t>
      </w:r>
      <w:r>
        <w:rPr>
          <w:rFonts w:hint="eastAsia" w:ascii="仿宋_GB2312" w:hAnsi="仿宋_GB2312" w:eastAsia="仿宋_GB2312" w:cs="仿宋_GB2312"/>
          <w:b w:val="0"/>
          <w:color w:val="000000" w:themeColor="text1"/>
        </w:rPr>
        <w:t>一</w:t>
      </w:r>
      <w:r>
        <w:rPr>
          <w:rStyle w:val="25"/>
          <w:rFonts w:hint="eastAsia" w:ascii="仿宋_GB2312" w:hAnsi="仿宋_GB2312" w:eastAsia="仿宋_GB2312" w:cs="仿宋_GB2312"/>
          <w:b w:val="0"/>
          <w:bCs w:val="0"/>
          <w:color w:val="000000" w:themeColor="text1"/>
        </w:rPr>
        <w:t>般公共预算财政拨款“三公”经费支出决算表</w:t>
      </w:r>
      <w:bookmarkEnd w:id="98"/>
      <w:bookmarkEnd w:id="99"/>
    </w:p>
    <w:p>
      <w:pPr>
        <w:pStyle w:val="4"/>
        <w:spacing w:before="0" w:after="0" w:line="600" w:lineRule="exact"/>
        <w:ind w:firstLine="640" w:firstLineChars="200"/>
        <w:rPr>
          <w:rFonts w:ascii="仿宋_GB2312" w:hAnsi="仿宋_GB2312" w:eastAsia="仿宋_GB2312" w:cs="仿宋_GB2312"/>
        </w:rPr>
      </w:pPr>
      <w:bookmarkStart w:id="100" w:name="_Toc15396629"/>
      <w:bookmarkStart w:id="101" w:name="_Toc113284456"/>
      <w:r>
        <w:rPr>
          <w:rStyle w:val="25"/>
          <w:rFonts w:hint="eastAsia" w:ascii="仿宋_GB2312" w:hAnsi="仿宋_GB2312" w:eastAsia="仿宋_GB2312" w:cs="仿宋_GB2312"/>
          <w:b w:val="0"/>
          <w:bCs w:val="0"/>
        </w:rPr>
        <w:t>十一、</w:t>
      </w:r>
      <w:r>
        <w:rPr>
          <w:rFonts w:hint="eastAsia" w:ascii="仿宋_GB2312" w:hAnsi="仿宋_GB2312" w:eastAsia="仿宋_GB2312" w:cs="仿宋_GB2312"/>
          <w:b w:val="0"/>
        </w:rPr>
        <w:t>政</w:t>
      </w:r>
      <w:r>
        <w:rPr>
          <w:rStyle w:val="25"/>
          <w:rFonts w:hint="eastAsia" w:ascii="仿宋_GB2312" w:hAnsi="仿宋_GB2312" w:eastAsia="仿宋_GB2312" w:cs="仿宋_GB2312"/>
          <w:b w:val="0"/>
          <w:bCs w:val="0"/>
        </w:rPr>
        <w:t>府性基金预算财政拨款收入支出决算表</w:t>
      </w:r>
      <w:bookmarkEnd w:id="100"/>
      <w:bookmarkEnd w:id="101"/>
    </w:p>
    <w:p>
      <w:pPr>
        <w:pStyle w:val="4"/>
        <w:spacing w:before="0" w:after="0" w:line="600" w:lineRule="exact"/>
        <w:ind w:firstLine="640" w:firstLineChars="200"/>
        <w:rPr>
          <w:rFonts w:ascii="仿宋_GB2312" w:hAnsi="仿宋_GB2312" w:eastAsia="仿宋_GB2312" w:cs="仿宋_GB2312"/>
          <w:w w:val="95"/>
        </w:rPr>
      </w:pPr>
      <w:bookmarkStart w:id="102" w:name="_Toc113284457"/>
      <w:bookmarkStart w:id="103" w:name="_Toc15396630"/>
      <w:r>
        <w:rPr>
          <w:rStyle w:val="25"/>
          <w:rFonts w:hint="eastAsia" w:ascii="仿宋_GB2312" w:hAnsi="仿宋_GB2312" w:eastAsia="仿宋_GB2312" w:cs="仿宋_GB2312"/>
          <w:b w:val="0"/>
          <w:bCs w:val="0"/>
        </w:rPr>
        <w:t>十二、</w:t>
      </w:r>
      <w:r>
        <w:rPr>
          <w:rFonts w:hint="eastAsia" w:ascii="仿宋_GB2312" w:hAnsi="仿宋_GB2312" w:eastAsia="仿宋_GB2312" w:cs="仿宋_GB2312"/>
          <w:b w:val="0"/>
          <w:w w:val="95"/>
        </w:rPr>
        <w:t>政</w:t>
      </w:r>
      <w:r>
        <w:rPr>
          <w:rStyle w:val="25"/>
          <w:rFonts w:hint="eastAsia" w:ascii="仿宋_GB2312" w:hAnsi="仿宋_GB2312" w:eastAsia="仿宋_GB2312" w:cs="仿宋_GB2312"/>
          <w:b w:val="0"/>
          <w:bCs w:val="0"/>
          <w:w w:val="95"/>
        </w:rPr>
        <w:t>府性基金预算财政拨款“三公”经费支出决算表</w:t>
      </w:r>
      <w:bookmarkEnd w:id="102"/>
      <w:bookmarkEnd w:id="103"/>
    </w:p>
    <w:p>
      <w:pPr>
        <w:pStyle w:val="4"/>
        <w:spacing w:before="0" w:after="0" w:line="600" w:lineRule="exact"/>
        <w:ind w:firstLine="640" w:firstLineChars="200"/>
        <w:rPr>
          <w:rStyle w:val="25"/>
          <w:rFonts w:ascii="仿宋_GB2312" w:hAnsi="仿宋_GB2312" w:eastAsia="仿宋_GB2312" w:cs="仿宋_GB2312"/>
          <w:b w:val="0"/>
          <w:bCs w:val="0"/>
        </w:rPr>
      </w:pPr>
      <w:bookmarkStart w:id="104" w:name="_Toc15396631"/>
      <w:bookmarkStart w:id="105" w:name="_Toc113284458"/>
      <w:r>
        <w:rPr>
          <w:rStyle w:val="25"/>
          <w:rFonts w:hint="eastAsia" w:ascii="仿宋_GB2312" w:hAnsi="仿宋_GB2312" w:eastAsia="仿宋_GB2312" w:cs="仿宋_GB2312"/>
          <w:b w:val="0"/>
          <w:bCs w:val="0"/>
        </w:rPr>
        <w:t>十三、</w:t>
      </w:r>
      <w:r>
        <w:rPr>
          <w:rFonts w:hint="eastAsia" w:ascii="仿宋_GB2312" w:hAnsi="仿宋_GB2312" w:eastAsia="仿宋_GB2312" w:cs="仿宋_GB2312"/>
          <w:b w:val="0"/>
        </w:rPr>
        <w:t>国</w:t>
      </w:r>
      <w:r>
        <w:rPr>
          <w:rStyle w:val="25"/>
          <w:rFonts w:hint="eastAsia" w:ascii="仿宋_GB2312" w:hAnsi="仿宋_GB2312" w:eastAsia="仿宋_GB2312" w:cs="仿宋_GB2312"/>
          <w:b w:val="0"/>
          <w:bCs w:val="0"/>
        </w:rPr>
        <w:t>有资本经营预算财政拨款收入支出决算表</w:t>
      </w:r>
      <w:bookmarkEnd w:id="104"/>
      <w:bookmarkEnd w:id="105"/>
    </w:p>
    <w:p>
      <w:pPr>
        <w:spacing w:line="600" w:lineRule="exact"/>
        <w:ind w:firstLine="640" w:firstLineChars="200"/>
        <w:rPr>
          <w:rFonts w:ascii="仿宋_GB2312" w:hAnsi="仿宋_GB2312" w:eastAsia="仿宋_GB2312" w:cs="仿宋_GB2312"/>
        </w:rPr>
      </w:pPr>
      <w:bookmarkStart w:id="106" w:name="_Toc113284459"/>
      <w:r>
        <w:rPr>
          <w:rStyle w:val="25"/>
          <w:rFonts w:hint="eastAsia" w:ascii="仿宋_GB2312" w:hAnsi="仿宋_GB2312" w:eastAsia="仿宋_GB2312" w:cs="仿宋_GB2312"/>
          <w:b w:val="0"/>
          <w:bCs w:val="0"/>
        </w:rPr>
        <w:t>十四、国有资本经营预算财政拨款支出决算表</w:t>
      </w:r>
      <w:bookmarkEnd w:id="106"/>
    </w:p>
    <w:sectPr>
      <w:footerReference r:id="rId5" w:type="first"/>
      <w:headerReference r:id="rId3" w:type="default"/>
      <w:footerReference r:id="rId4" w:type="default"/>
      <w:pgSz w:w="11906" w:h="16838"/>
      <w:pgMar w:top="1440" w:right="1800" w:bottom="1135"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0550656"/>
      <w:docPartObj>
        <w:docPartGallery w:val="autotext"/>
      </w:docPartObj>
    </w:sdtPr>
    <w:sdtContent>
      <w:p>
        <w:pPr>
          <w:pStyle w:val="8"/>
          <w:jc w:val="center"/>
        </w:pPr>
        <w:r>
          <w:fldChar w:fldCharType="begin"/>
        </w:r>
        <w:r>
          <w:instrText xml:space="preserve"> PAGE   \* MERGEFORMAT </w:instrText>
        </w:r>
        <w:r>
          <w:fldChar w:fldCharType="separate"/>
        </w:r>
        <w:r>
          <w:t>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305D"/>
    <w:rsid w:val="0000777E"/>
    <w:rsid w:val="000139D9"/>
    <w:rsid w:val="000222C6"/>
    <w:rsid w:val="0002549F"/>
    <w:rsid w:val="00027949"/>
    <w:rsid w:val="000301A1"/>
    <w:rsid w:val="000421A3"/>
    <w:rsid w:val="000468DB"/>
    <w:rsid w:val="0006487A"/>
    <w:rsid w:val="00065F8F"/>
    <w:rsid w:val="00070A43"/>
    <w:rsid w:val="000768F2"/>
    <w:rsid w:val="0009184B"/>
    <w:rsid w:val="00094236"/>
    <w:rsid w:val="0009593C"/>
    <w:rsid w:val="000969E0"/>
    <w:rsid w:val="00097322"/>
    <w:rsid w:val="000A6A92"/>
    <w:rsid w:val="000B047F"/>
    <w:rsid w:val="000B5923"/>
    <w:rsid w:val="000B5A48"/>
    <w:rsid w:val="000B6FF3"/>
    <w:rsid w:val="000C3467"/>
    <w:rsid w:val="000C3CA6"/>
    <w:rsid w:val="000C563E"/>
    <w:rsid w:val="000C6019"/>
    <w:rsid w:val="000C6840"/>
    <w:rsid w:val="000D1267"/>
    <w:rsid w:val="000D1D50"/>
    <w:rsid w:val="000D5782"/>
    <w:rsid w:val="000E6613"/>
    <w:rsid w:val="000E7119"/>
    <w:rsid w:val="00114E9B"/>
    <w:rsid w:val="00120ECC"/>
    <w:rsid w:val="0014004A"/>
    <w:rsid w:val="00142216"/>
    <w:rsid w:val="00144D6A"/>
    <w:rsid w:val="0014729F"/>
    <w:rsid w:val="00157BAB"/>
    <w:rsid w:val="001629CC"/>
    <w:rsid w:val="001654D1"/>
    <w:rsid w:val="00165A75"/>
    <w:rsid w:val="00174518"/>
    <w:rsid w:val="0018106D"/>
    <w:rsid w:val="001877A7"/>
    <w:rsid w:val="00191536"/>
    <w:rsid w:val="00196687"/>
    <w:rsid w:val="001A20E6"/>
    <w:rsid w:val="001C0962"/>
    <w:rsid w:val="001D7531"/>
    <w:rsid w:val="001E737D"/>
    <w:rsid w:val="001F0592"/>
    <w:rsid w:val="001F7506"/>
    <w:rsid w:val="002006CD"/>
    <w:rsid w:val="00202B36"/>
    <w:rsid w:val="00204B7A"/>
    <w:rsid w:val="00204CDE"/>
    <w:rsid w:val="0021101A"/>
    <w:rsid w:val="00220536"/>
    <w:rsid w:val="00235629"/>
    <w:rsid w:val="00237A6C"/>
    <w:rsid w:val="0024663E"/>
    <w:rsid w:val="00260C38"/>
    <w:rsid w:val="002616C0"/>
    <w:rsid w:val="00265372"/>
    <w:rsid w:val="002662AA"/>
    <w:rsid w:val="00272DAA"/>
    <w:rsid w:val="00280496"/>
    <w:rsid w:val="0028116E"/>
    <w:rsid w:val="00294DC9"/>
    <w:rsid w:val="00295495"/>
    <w:rsid w:val="002A31DE"/>
    <w:rsid w:val="002B109A"/>
    <w:rsid w:val="002B2613"/>
    <w:rsid w:val="002C22AB"/>
    <w:rsid w:val="002C2C38"/>
    <w:rsid w:val="002C5B59"/>
    <w:rsid w:val="002D6D05"/>
    <w:rsid w:val="002F1818"/>
    <w:rsid w:val="002F567B"/>
    <w:rsid w:val="00306A98"/>
    <w:rsid w:val="00311B3C"/>
    <w:rsid w:val="003216A9"/>
    <w:rsid w:val="00331889"/>
    <w:rsid w:val="00335A74"/>
    <w:rsid w:val="00355921"/>
    <w:rsid w:val="00363C74"/>
    <w:rsid w:val="0036561B"/>
    <w:rsid w:val="0037013F"/>
    <w:rsid w:val="00380C92"/>
    <w:rsid w:val="003A484F"/>
    <w:rsid w:val="003A4883"/>
    <w:rsid w:val="003A52F7"/>
    <w:rsid w:val="003B0BE0"/>
    <w:rsid w:val="003B0C1B"/>
    <w:rsid w:val="003B688C"/>
    <w:rsid w:val="003C0291"/>
    <w:rsid w:val="003C39AE"/>
    <w:rsid w:val="003C46FD"/>
    <w:rsid w:val="003C7B60"/>
    <w:rsid w:val="003D0C0F"/>
    <w:rsid w:val="003D1FB2"/>
    <w:rsid w:val="003D307C"/>
    <w:rsid w:val="003D66DA"/>
    <w:rsid w:val="003E1310"/>
    <w:rsid w:val="003E6F55"/>
    <w:rsid w:val="00406254"/>
    <w:rsid w:val="004223DE"/>
    <w:rsid w:val="00422BB9"/>
    <w:rsid w:val="00426C5F"/>
    <w:rsid w:val="00430EA3"/>
    <w:rsid w:val="00434489"/>
    <w:rsid w:val="00437085"/>
    <w:rsid w:val="00441A6B"/>
    <w:rsid w:val="00443880"/>
    <w:rsid w:val="0044540C"/>
    <w:rsid w:val="004464F4"/>
    <w:rsid w:val="00471401"/>
    <w:rsid w:val="00473F31"/>
    <w:rsid w:val="0048263A"/>
    <w:rsid w:val="00487E5D"/>
    <w:rsid w:val="004A0993"/>
    <w:rsid w:val="004A631B"/>
    <w:rsid w:val="004A711F"/>
    <w:rsid w:val="004B199D"/>
    <w:rsid w:val="004B4690"/>
    <w:rsid w:val="004E0A2D"/>
    <w:rsid w:val="004E206B"/>
    <w:rsid w:val="004E6DF7"/>
    <w:rsid w:val="004F0FBD"/>
    <w:rsid w:val="00505A47"/>
    <w:rsid w:val="00512FDA"/>
    <w:rsid w:val="00520DA0"/>
    <w:rsid w:val="00524E09"/>
    <w:rsid w:val="00531751"/>
    <w:rsid w:val="0056187C"/>
    <w:rsid w:val="005664BB"/>
    <w:rsid w:val="00566FFA"/>
    <w:rsid w:val="0057481D"/>
    <w:rsid w:val="00575038"/>
    <w:rsid w:val="005779FF"/>
    <w:rsid w:val="0058486E"/>
    <w:rsid w:val="00585B33"/>
    <w:rsid w:val="0059014D"/>
    <w:rsid w:val="005B27D2"/>
    <w:rsid w:val="005B4C6F"/>
    <w:rsid w:val="005B5C64"/>
    <w:rsid w:val="005C5337"/>
    <w:rsid w:val="005C6BD0"/>
    <w:rsid w:val="005D1C8B"/>
    <w:rsid w:val="005D360B"/>
    <w:rsid w:val="005D468D"/>
    <w:rsid w:val="005D46AD"/>
    <w:rsid w:val="005D5CED"/>
    <w:rsid w:val="005E113D"/>
    <w:rsid w:val="005E6B91"/>
    <w:rsid w:val="005F1A4C"/>
    <w:rsid w:val="006055B4"/>
    <w:rsid w:val="00605688"/>
    <w:rsid w:val="00605B4D"/>
    <w:rsid w:val="006070AF"/>
    <w:rsid w:val="00607E6C"/>
    <w:rsid w:val="006101B1"/>
    <w:rsid w:val="00614E44"/>
    <w:rsid w:val="0062270A"/>
    <w:rsid w:val="00622830"/>
    <w:rsid w:val="00622A20"/>
    <w:rsid w:val="00623DA0"/>
    <w:rsid w:val="00630AEF"/>
    <w:rsid w:val="006325F8"/>
    <w:rsid w:val="00633463"/>
    <w:rsid w:val="00634C9A"/>
    <w:rsid w:val="006440E4"/>
    <w:rsid w:val="0066343B"/>
    <w:rsid w:val="00664501"/>
    <w:rsid w:val="00664777"/>
    <w:rsid w:val="006748A4"/>
    <w:rsid w:val="00675B96"/>
    <w:rsid w:val="00681A31"/>
    <w:rsid w:val="00683E73"/>
    <w:rsid w:val="006A3141"/>
    <w:rsid w:val="006A5E34"/>
    <w:rsid w:val="006B2422"/>
    <w:rsid w:val="006B2B9A"/>
    <w:rsid w:val="006C08A1"/>
    <w:rsid w:val="006C1937"/>
    <w:rsid w:val="006C23B4"/>
    <w:rsid w:val="006F020C"/>
    <w:rsid w:val="007127B7"/>
    <w:rsid w:val="0071798E"/>
    <w:rsid w:val="00734B2D"/>
    <w:rsid w:val="007416B6"/>
    <w:rsid w:val="0074370E"/>
    <w:rsid w:val="00746F48"/>
    <w:rsid w:val="00752BF6"/>
    <w:rsid w:val="0075404D"/>
    <w:rsid w:val="0076182A"/>
    <w:rsid w:val="00767B7E"/>
    <w:rsid w:val="007770C3"/>
    <w:rsid w:val="00784D24"/>
    <w:rsid w:val="00785FBA"/>
    <w:rsid w:val="00786E4A"/>
    <w:rsid w:val="007875EB"/>
    <w:rsid w:val="007906B3"/>
    <w:rsid w:val="0079426B"/>
    <w:rsid w:val="007A29E6"/>
    <w:rsid w:val="007A7730"/>
    <w:rsid w:val="007A7F03"/>
    <w:rsid w:val="007C67D3"/>
    <w:rsid w:val="007D1682"/>
    <w:rsid w:val="007D312A"/>
    <w:rsid w:val="007D3F19"/>
    <w:rsid w:val="007E23B0"/>
    <w:rsid w:val="007E23E5"/>
    <w:rsid w:val="007E6B85"/>
    <w:rsid w:val="007F1991"/>
    <w:rsid w:val="007F2C2F"/>
    <w:rsid w:val="007F55FC"/>
    <w:rsid w:val="007F5665"/>
    <w:rsid w:val="00800112"/>
    <w:rsid w:val="00802E0F"/>
    <w:rsid w:val="00805C92"/>
    <w:rsid w:val="008125E2"/>
    <w:rsid w:val="00813348"/>
    <w:rsid w:val="00824D9C"/>
    <w:rsid w:val="008253BB"/>
    <w:rsid w:val="0083538E"/>
    <w:rsid w:val="0083706E"/>
    <w:rsid w:val="008408F6"/>
    <w:rsid w:val="008423A5"/>
    <w:rsid w:val="00850625"/>
    <w:rsid w:val="008522DD"/>
    <w:rsid w:val="00853718"/>
    <w:rsid w:val="00855221"/>
    <w:rsid w:val="00860645"/>
    <w:rsid w:val="0086740B"/>
    <w:rsid w:val="00871F71"/>
    <w:rsid w:val="00872FD8"/>
    <w:rsid w:val="0087477E"/>
    <w:rsid w:val="00885AF4"/>
    <w:rsid w:val="008939CD"/>
    <w:rsid w:val="008B768C"/>
    <w:rsid w:val="008C4DB1"/>
    <w:rsid w:val="008C4EAF"/>
    <w:rsid w:val="008C5176"/>
    <w:rsid w:val="008C5DE1"/>
    <w:rsid w:val="008C7ACB"/>
    <w:rsid w:val="008C7FD0"/>
    <w:rsid w:val="008E1DE7"/>
    <w:rsid w:val="008E707C"/>
    <w:rsid w:val="00900B08"/>
    <w:rsid w:val="00901B1E"/>
    <w:rsid w:val="00902155"/>
    <w:rsid w:val="00902FA3"/>
    <w:rsid w:val="00906072"/>
    <w:rsid w:val="00923564"/>
    <w:rsid w:val="0092392E"/>
    <w:rsid w:val="009315F9"/>
    <w:rsid w:val="00933499"/>
    <w:rsid w:val="00935C98"/>
    <w:rsid w:val="00944FEA"/>
    <w:rsid w:val="00945E43"/>
    <w:rsid w:val="00946945"/>
    <w:rsid w:val="00951248"/>
    <w:rsid w:val="0095152F"/>
    <w:rsid w:val="00954C49"/>
    <w:rsid w:val="00955E37"/>
    <w:rsid w:val="009621FB"/>
    <w:rsid w:val="0097099F"/>
    <w:rsid w:val="00971997"/>
    <w:rsid w:val="00971FFC"/>
    <w:rsid w:val="00977FFC"/>
    <w:rsid w:val="009828A6"/>
    <w:rsid w:val="009835CD"/>
    <w:rsid w:val="0098660A"/>
    <w:rsid w:val="009931C3"/>
    <w:rsid w:val="009B2C43"/>
    <w:rsid w:val="009B4EAE"/>
    <w:rsid w:val="009B538C"/>
    <w:rsid w:val="009B7573"/>
    <w:rsid w:val="009C22F4"/>
    <w:rsid w:val="009C2A4B"/>
    <w:rsid w:val="009C2E98"/>
    <w:rsid w:val="009D3447"/>
    <w:rsid w:val="009D4711"/>
    <w:rsid w:val="009E283A"/>
    <w:rsid w:val="009E4BD0"/>
    <w:rsid w:val="009F1185"/>
    <w:rsid w:val="009F18CD"/>
    <w:rsid w:val="009F2A13"/>
    <w:rsid w:val="009F7527"/>
    <w:rsid w:val="00A04EB0"/>
    <w:rsid w:val="00A13118"/>
    <w:rsid w:val="00A13CC1"/>
    <w:rsid w:val="00A16847"/>
    <w:rsid w:val="00A237D8"/>
    <w:rsid w:val="00A268C4"/>
    <w:rsid w:val="00A307CD"/>
    <w:rsid w:val="00A331C8"/>
    <w:rsid w:val="00A363D8"/>
    <w:rsid w:val="00A40A00"/>
    <w:rsid w:val="00A4142F"/>
    <w:rsid w:val="00A422EB"/>
    <w:rsid w:val="00A44BD3"/>
    <w:rsid w:val="00A45BB7"/>
    <w:rsid w:val="00A465CE"/>
    <w:rsid w:val="00A55732"/>
    <w:rsid w:val="00A568C8"/>
    <w:rsid w:val="00A56DF2"/>
    <w:rsid w:val="00A56E6E"/>
    <w:rsid w:val="00A67AB5"/>
    <w:rsid w:val="00A733B2"/>
    <w:rsid w:val="00A741C2"/>
    <w:rsid w:val="00A74D1E"/>
    <w:rsid w:val="00A81302"/>
    <w:rsid w:val="00A91462"/>
    <w:rsid w:val="00A91760"/>
    <w:rsid w:val="00A93B00"/>
    <w:rsid w:val="00A93C21"/>
    <w:rsid w:val="00A966BB"/>
    <w:rsid w:val="00AB5266"/>
    <w:rsid w:val="00AB59B2"/>
    <w:rsid w:val="00AB5B23"/>
    <w:rsid w:val="00AB64C9"/>
    <w:rsid w:val="00AC105C"/>
    <w:rsid w:val="00AC3C6A"/>
    <w:rsid w:val="00AD5620"/>
    <w:rsid w:val="00AD656B"/>
    <w:rsid w:val="00AD7C1B"/>
    <w:rsid w:val="00AE16BA"/>
    <w:rsid w:val="00AE1EBE"/>
    <w:rsid w:val="00AF40AE"/>
    <w:rsid w:val="00B03C9D"/>
    <w:rsid w:val="00B060AE"/>
    <w:rsid w:val="00B10517"/>
    <w:rsid w:val="00B14E76"/>
    <w:rsid w:val="00B161B8"/>
    <w:rsid w:val="00B2048C"/>
    <w:rsid w:val="00B30397"/>
    <w:rsid w:val="00B310B9"/>
    <w:rsid w:val="00B35F3F"/>
    <w:rsid w:val="00B36CBB"/>
    <w:rsid w:val="00B377EC"/>
    <w:rsid w:val="00B425E0"/>
    <w:rsid w:val="00B440AA"/>
    <w:rsid w:val="00B44B70"/>
    <w:rsid w:val="00B53C56"/>
    <w:rsid w:val="00B57DAF"/>
    <w:rsid w:val="00B7245F"/>
    <w:rsid w:val="00B77EA6"/>
    <w:rsid w:val="00B81598"/>
    <w:rsid w:val="00B841F1"/>
    <w:rsid w:val="00B944D6"/>
    <w:rsid w:val="00B96BDB"/>
    <w:rsid w:val="00BA4E8D"/>
    <w:rsid w:val="00BB4DF0"/>
    <w:rsid w:val="00BB6BB4"/>
    <w:rsid w:val="00BC289F"/>
    <w:rsid w:val="00BC2D50"/>
    <w:rsid w:val="00BC5361"/>
    <w:rsid w:val="00BC5460"/>
    <w:rsid w:val="00BC6B50"/>
    <w:rsid w:val="00BD0E25"/>
    <w:rsid w:val="00BF0D84"/>
    <w:rsid w:val="00BF5BD6"/>
    <w:rsid w:val="00C03E31"/>
    <w:rsid w:val="00C15F56"/>
    <w:rsid w:val="00C3298A"/>
    <w:rsid w:val="00C33E72"/>
    <w:rsid w:val="00C354B2"/>
    <w:rsid w:val="00C35554"/>
    <w:rsid w:val="00C42709"/>
    <w:rsid w:val="00C44EF0"/>
    <w:rsid w:val="00C52840"/>
    <w:rsid w:val="00C533CC"/>
    <w:rsid w:val="00C5751C"/>
    <w:rsid w:val="00C61BFC"/>
    <w:rsid w:val="00C62B85"/>
    <w:rsid w:val="00C65438"/>
    <w:rsid w:val="00C73532"/>
    <w:rsid w:val="00C87FD8"/>
    <w:rsid w:val="00C91381"/>
    <w:rsid w:val="00C91CBB"/>
    <w:rsid w:val="00CB4E70"/>
    <w:rsid w:val="00CC09B6"/>
    <w:rsid w:val="00CC666F"/>
    <w:rsid w:val="00CD1E3F"/>
    <w:rsid w:val="00CD24E8"/>
    <w:rsid w:val="00CE44F6"/>
    <w:rsid w:val="00CE49DA"/>
    <w:rsid w:val="00CE7B61"/>
    <w:rsid w:val="00CF795F"/>
    <w:rsid w:val="00D00095"/>
    <w:rsid w:val="00D114F0"/>
    <w:rsid w:val="00D20620"/>
    <w:rsid w:val="00D254F7"/>
    <w:rsid w:val="00D26091"/>
    <w:rsid w:val="00D2685C"/>
    <w:rsid w:val="00D34E7C"/>
    <w:rsid w:val="00D35489"/>
    <w:rsid w:val="00D36AFE"/>
    <w:rsid w:val="00D42FEF"/>
    <w:rsid w:val="00D51276"/>
    <w:rsid w:val="00D7035F"/>
    <w:rsid w:val="00D74874"/>
    <w:rsid w:val="00D85975"/>
    <w:rsid w:val="00D93C0E"/>
    <w:rsid w:val="00DA1F53"/>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07A04"/>
    <w:rsid w:val="00F1361C"/>
    <w:rsid w:val="00F156F0"/>
    <w:rsid w:val="00F160C7"/>
    <w:rsid w:val="00F2408F"/>
    <w:rsid w:val="00F240E9"/>
    <w:rsid w:val="00F36D8F"/>
    <w:rsid w:val="00F417B1"/>
    <w:rsid w:val="00F45853"/>
    <w:rsid w:val="00F602DF"/>
    <w:rsid w:val="00F66B33"/>
    <w:rsid w:val="00F71625"/>
    <w:rsid w:val="00F754A1"/>
    <w:rsid w:val="00F81FD9"/>
    <w:rsid w:val="00F82ECD"/>
    <w:rsid w:val="00F841AA"/>
    <w:rsid w:val="00F84A94"/>
    <w:rsid w:val="00F87E96"/>
    <w:rsid w:val="00F95364"/>
    <w:rsid w:val="00F96271"/>
    <w:rsid w:val="00FA23E8"/>
    <w:rsid w:val="00FA29A6"/>
    <w:rsid w:val="00FA7B12"/>
    <w:rsid w:val="00FD3CC1"/>
    <w:rsid w:val="00FD7977"/>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7FBE1D"/>
    <w:rsid w:val="2EFA178C"/>
    <w:rsid w:val="30B46D73"/>
    <w:rsid w:val="319F7F4E"/>
    <w:rsid w:val="39AE70AB"/>
    <w:rsid w:val="3AEEC11A"/>
    <w:rsid w:val="3C0C0783"/>
    <w:rsid w:val="3E3F6878"/>
    <w:rsid w:val="3F9F3A96"/>
    <w:rsid w:val="44E37094"/>
    <w:rsid w:val="493C27E9"/>
    <w:rsid w:val="496F39ED"/>
    <w:rsid w:val="49FF41D3"/>
    <w:rsid w:val="4BE068DB"/>
    <w:rsid w:val="4BF6002B"/>
    <w:rsid w:val="4ECE2238"/>
    <w:rsid w:val="51DB4B86"/>
    <w:rsid w:val="55333C3E"/>
    <w:rsid w:val="5F779DA3"/>
    <w:rsid w:val="64CA39A1"/>
    <w:rsid w:val="677E515E"/>
    <w:rsid w:val="6C4A05C8"/>
    <w:rsid w:val="72734D90"/>
    <w:rsid w:val="79E7B28D"/>
    <w:rsid w:val="7BD4481A"/>
    <w:rsid w:val="7CFBDEAA"/>
    <w:rsid w:val="7DFB4118"/>
    <w:rsid w:val="7F9F20EE"/>
    <w:rsid w:val="7FFFD9C0"/>
    <w:rsid w:val="9E3A10E2"/>
    <w:rsid w:val="E99CF168"/>
    <w:rsid w:val="F2E1F9D4"/>
    <w:rsid w:val="F7880819"/>
    <w:rsid w:val="FEBDDFBB"/>
    <w:rsid w:val="FEFF0F8A"/>
    <w:rsid w:val="FFB7F060"/>
    <w:rsid w:val="FFB92C5B"/>
    <w:rsid w:val="FFBF47B8"/>
    <w:rsid w:val="FFEE5D9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正文2"/>
    <w:basedOn w:val="1"/>
    <w:next w:val="1"/>
    <w:qFormat/>
    <w:uiPriority w:val="99"/>
    <w:rPr>
      <w:rFonts w:ascii="Calibri" w:hAnsi="Calibri"/>
    </w:rPr>
  </w:style>
  <w:style w:type="paragraph" w:customStyle="1" w:styleId="31">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1.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yaosheng.yu\OneDrive%20-%20Accenture\Desktop\temp\wenwen\0817\&#22270;&#244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aosheng.yu\OneDrive%20-%20Accenture\Desktop\temp\wenwen\0817\&#22270;&#244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aosheng.yu\OneDrive%20-%20Accenture\Desktop\temp\wenwen\0817\&#22270;&#244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en-US" sz="105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en-US" sz="1050">
                <a:latin typeface="仿宋" panose="02010609060101010101" pitchFamily="3" charset="-122"/>
                <a:ea typeface="仿宋" panose="02010609060101010101" pitchFamily="3" charset="-122"/>
              </a:rPr>
              <a:t>单位</a:t>
            </a:r>
            <a:r>
              <a:rPr lang="en-US" altLang="zh-CN" sz="1050">
                <a:latin typeface="仿宋" panose="02010609060101010101" pitchFamily="3" charset="-122"/>
                <a:ea typeface="仿宋" panose="02010609060101010101" pitchFamily="3" charset="-122"/>
              </a:rPr>
              <a:t>:</a:t>
            </a:r>
            <a:r>
              <a:rPr lang="zh-CN" altLang="en-US" sz="1050">
                <a:latin typeface="仿宋" panose="02010609060101010101" pitchFamily="3" charset="-122"/>
                <a:ea typeface="仿宋" panose="02010609060101010101" pitchFamily="3" charset="-122"/>
              </a:rPr>
              <a:t>万元</a:t>
            </a:r>
            <a:endParaRPr lang="en-US" altLang="zh-CN" sz="1050">
              <a:latin typeface="仿宋" panose="02010609060101010101" pitchFamily="3" charset="-122"/>
              <a:ea typeface="仿宋" panose="02010609060101010101" pitchFamily="3" charset="-122"/>
            </a:endParaRPr>
          </a:p>
        </c:rich>
      </c:tx>
      <c:layout>
        <c:manualLayout>
          <c:xMode val="edge"/>
          <c:yMode val="edge"/>
          <c:x val="0.790441690947402"/>
          <c:y val="0.0340425645979442"/>
        </c:manualLayout>
      </c:layout>
      <c:overlay val="false"/>
      <c:spPr>
        <a:noFill/>
        <a:ln>
          <a:noFill/>
        </a:ln>
        <a:effectLst/>
      </c:spPr>
    </c:title>
    <c:autoTitleDeleted val="false"/>
    <c:plotArea>
      <c:layout/>
      <c:barChart>
        <c:barDir val="col"/>
        <c:grouping val="clustered"/>
        <c:varyColors val="false"/>
        <c:ser>
          <c:idx val="0"/>
          <c:order val="0"/>
          <c:tx>
            <c:strRef>
              <c:f>Sheet1!$A$2</c:f>
              <c:strCache>
                <c:ptCount val="1"/>
                <c:pt idx="0">
                  <c:v>2020</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Sheet1!$B$1</c:f>
              <c:strCache>
                <c:ptCount val="1"/>
                <c:pt idx="0">
                  <c:v>金额</c:v>
                </c:pt>
              </c:strCache>
            </c:strRef>
          </c:cat>
          <c:val>
            <c:numRef>
              <c:f>Sheet1!$B$2</c:f>
              <c:numCache>
                <c:formatCode>General</c:formatCode>
                <c:ptCount val="1"/>
                <c:pt idx="0">
                  <c:v>984</c:v>
                </c:pt>
              </c:numCache>
            </c:numRef>
          </c:val>
        </c:ser>
        <c:ser>
          <c:idx val="1"/>
          <c:order val="1"/>
          <c:tx>
            <c:strRef>
              <c:f>Sheet1!$A$3</c:f>
              <c:strCache>
                <c:ptCount val="1"/>
                <c:pt idx="0">
                  <c:v>2021</c:v>
                </c:pt>
              </c:strCache>
            </c:strRef>
          </c:tx>
          <c:spPr>
            <a:solidFill>
              <a:srgbClr val="C00000"/>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Sheet1!$B$1</c:f>
              <c:strCache>
                <c:ptCount val="1"/>
                <c:pt idx="0">
                  <c:v>金额</c:v>
                </c:pt>
              </c:strCache>
            </c:strRef>
          </c:cat>
          <c:val>
            <c:numRef>
              <c:f>Sheet1!$B$3</c:f>
              <c:numCache>
                <c:formatCode>General</c:formatCode>
                <c:ptCount val="1"/>
                <c:pt idx="0">
                  <c:v>1308.31</c:v>
                </c:pt>
              </c:numCache>
            </c:numRef>
          </c:val>
        </c:ser>
        <c:dLbls>
          <c:showLegendKey val="false"/>
          <c:showVal val="true"/>
          <c:showCatName val="false"/>
          <c:showSerName val="false"/>
          <c:showPercent val="false"/>
          <c:showBubbleSize val="false"/>
        </c:dLbls>
        <c:gapWidth val="219"/>
        <c:overlap val="-27"/>
        <c:axId val="34491392"/>
        <c:axId val="34524544"/>
      </c:barChart>
      <c:catAx>
        <c:axId val="34491392"/>
        <c:scaling>
          <c:orientation val="minMax"/>
        </c:scaling>
        <c:delete val="true"/>
        <c:axPos val="b"/>
        <c:title>
          <c:tx>
            <c:rich>
              <a:bodyPr rot="0" spcFirstLastPara="1" vertOverflow="ellipsis" vert="horz" wrap="square" anchor="ctr" anchorCtr="true"/>
              <a:lstStyle/>
              <a:p>
                <a:pPr>
                  <a:defRPr lang="en-US" sz="12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zh-CN" sz="1200" b="0" i="0" baseline="0">
                    <a:effectLst/>
                    <a:latin typeface="仿宋" panose="02010609060101010101" pitchFamily="3" charset="-122"/>
                    <a:ea typeface="仿宋" panose="02010609060101010101" pitchFamily="3" charset="-122"/>
                  </a:rPr>
                  <a:t>收支决算总计变动情况表</a:t>
                </a:r>
                <a:endParaRPr lang="zh-CN" altLang="zh-CN" sz="1200">
                  <a:effectLst/>
                  <a:latin typeface="仿宋" panose="02010609060101010101" pitchFamily="3" charset="-122"/>
                  <a:ea typeface="仿宋" panose="02010609060101010101" pitchFamily="3" charset="-122"/>
                </a:endParaRPr>
              </a:p>
            </c:rich>
          </c:tx>
          <c:layout/>
          <c:overlay val="false"/>
          <c:spPr>
            <a:noFill/>
            <a:ln>
              <a:noFill/>
            </a:ln>
            <a:effectLst/>
          </c:spPr>
        </c:title>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34524544"/>
        <c:crosses val="autoZero"/>
        <c:auto val="true"/>
        <c:lblAlgn val="ctr"/>
        <c:lblOffset val="100"/>
        <c:noMultiLvlLbl val="false"/>
      </c:catAx>
      <c:valAx>
        <c:axId val="3452454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out"/>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en-US" sz="900" b="0" i="0" u="none" strike="noStrike" kern="1200" baseline="0">
                <a:solidFill>
                  <a:schemeClr val="tx1">
                    <a:lumMod val="65000"/>
                    <a:lumOff val="35000"/>
                  </a:schemeClr>
                </a:solidFill>
                <a:latin typeface="+mn-lt"/>
                <a:ea typeface="+mn-ea"/>
                <a:cs typeface="+mn-cs"/>
              </a:defRPr>
            </a:pPr>
          </a:p>
        </c:txPr>
        <c:crossAx val="34491392"/>
        <c:crosses val="autoZero"/>
        <c:crossBetween val="between"/>
      </c:valAx>
      <c:spPr>
        <a:noFill/>
        <a:ln>
          <a:noFill/>
        </a:ln>
        <a:effectLst/>
      </c:spPr>
    </c:plotArea>
    <c:legend>
      <c:legendPos val="b"/>
      <c:layout>
        <c:manualLayout>
          <c:xMode val="edge"/>
          <c:yMode val="edge"/>
          <c:x val="0.400689413823272"/>
          <c:y val="0.866318897637796"/>
          <c:w val="0.17286458910946"/>
          <c:h val="0.0718090372957069"/>
        </c:manualLayout>
      </c:layout>
      <c:overlay val="false"/>
      <c:spPr>
        <a:noFill/>
        <a:ln>
          <a:noFill/>
        </a:ln>
        <a:effectLst/>
      </c:spPr>
      <c:txPr>
        <a:bodyPr rot="0" spcFirstLastPara="1" vertOverflow="ellipsis" vert="horz" wrap="square" anchor="ctr" anchorCtr="true"/>
        <a:lstStyle/>
        <a:p>
          <a:pPr>
            <a:defRPr lang="en-US"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en-US" sz="1400" b="1"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sz="1400">
                <a:latin typeface="仿宋" panose="02010609060101010101" pitchFamily="3" charset="-122"/>
                <a:ea typeface="仿宋" panose="02010609060101010101" pitchFamily="3" charset="-122"/>
              </a:rPr>
              <a:t>收入</a:t>
            </a:r>
            <a:r>
              <a:rPr lang="zh-CN" altLang="en-US" sz="1400">
                <a:latin typeface="仿宋" panose="02010609060101010101" pitchFamily="3" charset="-122"/>
                <a:ea typeface="仿宋" panose="02010609060101010101" pitchFamily="3" charset="-122"/>
              </a:rPr>
              <a:t>决算</a:t>
            </a:r>
            <a:r>
              <a:rPr lang="zh-CN" sz="1400">
                <a:latin typeface="仿宋" panose="02010609060101010101" pitchFamily="3" charset="-122"/>
                <a:ea typeface="仿宋" panose="02010609060101010101" pitchFamily="3" charset="-122"/>
              </a:rPr>
              <a:t>结构图</a:t>
            </a:r>
            <a:endParaRPr lang="en-US" sz="1400">
              <a:latin typeface="仿宋" panose="02010609060101010101" pitchFamily="3" charset="-122"/>
              <a:ea typeface="仿宋" panose="02010609060101010101" pitchFamily="3" charset="-122"/>
            </a:endParaRPr>
          </a:p>
        </c:rich>
      </c:tx>
      <c:layout/>
      <c:overlay val="false"/>
      <c:spPr>
        <a:noFill/>
        <a:ln>
          <a:noFill/>
        </a:ln>
        <a:effectLst/>
      </c:spPr>
    </c:title>
    <c:autoTitleDeleted val="false"/>
    <c:plotArea>
      <c:layout/>
      <c:pieChart>
        <c:varyColors val="true"/>
        <c:ser>
          <c:idx val="0"/>
          <c:order val="0"/>
          <c:explosion val="0"/>
          <c:dPt>
            <c:idx val="0"/>
            <c:bubble3D val="false"/>
            <c:spPr>
              <a:solidFill>
                <a:srgbClr val="0070C0"/>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true">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Sheet2!$A$1</c:f>
              <c:strCache>
                <c:ptCount val="1"/>
                <c:pt idx="0">
                  <c:v>一般公共预算财政拨款收入</c:v>
                </c:pt>
              </c:strCache>
            </c:strRef>
          </c:cat>
          <c:val>
            <c:numRef>
              <c:f>Sheet2!$B$1</c:f>
              <c:numCache>
                <c:formatCode>General</c:formatCode>
                <c:ptCount val="1"/>
                <c:pt idx="0">
                  <c:v>1303.75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en-US"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en-US" sz="1260" b="1" i="0" u="none" strike="noStrike" kern="1200" baseline="0">
                <a:solidFill>
                  <a:schemeClr val="tx2"/>
                </a:solidFill>
                <a:latin typeface="仿宋" panose="02010609060101010101" pitchFamily="3" charset="-122"/>
                <a:ea typeface="仿宋" panose="02010609060101010101" pitchFamily="3" charset="-122"/>
                <a:cs typeface="+mn-cs"/>
              </a:defRPr>
            </a:pPr>
            <a:r>
              <a:rPr lang="zh-CN"/>
              <a:t>决算支出结构图</a:t>
            </a:r>
            <a:endParaRPr lang="en-US"/>
          </a:p>
        </c:rich>
      </c:tx>
      <c:layout/>
      <c:overlay val="false"/>
      <c:spPr>
        <a:noFill/>
        <a:ln>
          <a:noFill/>
        </a:ln>
        <a:effectLst/>
      </c:spPr>
    </c:title>
    <c:autoTitleDeleted val="false"/>
    <c:plotArea>
      <c:layout/>
      <c:pieChart>
        <c:varyColors val="true"/>
        <c:ser>
          <c:idx val="0"/>
          <c:order val="0"/>
          <c:spPr>
            <a:ln>
              <a:solidFill>
                <a:schemeClr val="accent1"/>
              </a:solidFill>
            </a:ln>
          </c:spPr>
          <c:explosion val="0"/>
          <c:dPt>
            <c:idx val="0"/>
            <c:bubble3D val="false"/>
            <c:spPr>
              <a:gradFill rotWithShape="true">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false"/>
              </a:gradFill>
              <a:ln>
                <a:solidFill>
                  <a:schemeClr val="accent1"/>
                </a:solidFill>
              </a:ln>
              <a:effectLst/>
            </c:spPr>
          </c:dPt>
          <c:dPt>
            <c:idx val="1"/>
            <c:bubble3D val="false"/>
            <c:spPr>
              <a:solidFill>
                <a:srgbClr val="C00000"/>
              </a:solidFill>
              <a:ln>
                <a:noFill/>
              </a:ln>
              <a:effectLst/>
            </c:spPr>
          </c:dPt>
          <c:dLbls>
            <c:numFmt formatCode="0.00%" sourceLinked="false"/>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tx2"/>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tx2">
                          <a:lumMod val="35000"/>
                          <a:lumOff val="65000"/>
                        </a:schemeClr>
                      </a:solidFill>
                      <a:prstDash val="solid"/>
                      <a:round/>
                    </a:ln>
                    <a:effectLst/>
                  </c:spPr>
                </c15:leaderLines>
              </c:ext>
            </c:extLst>
          </c:dLbls>
          <c:cat>
            <c:strRef>
              <c:f>Sheet3!$A$1:$A$2</c:f>
              <c:strCache>
                <c:ptCount val="2"/>
                <c:pt idx="0">
                  <c:v>基本支出</c:v>
                </c:pt>
                <c:pt idx="1">
                  <c:v>项目支出</c:v>
                </c:pt>
              </c:strCache>
            </c:strRef>
          </c:cat>
          <c:val>
            <c:numRef>
              <c:f>Sheet3!$B$1:$B$2</c:f>
              <c:numCache>
                <c:formatCode>General</c:formatCode>
                <c:ptCount val="2"/>
                <c:pt idx="0">
                  <c:v>932.319999999999</c:v>
                </c:pt>
                <c:pt idx="1">
                  <c:v>300.17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en-US" sz="1050" b="0" i="0" u="none" strike="noStrike" kern="1200" baseline="0">
              <a:solidFill>
                <a:schemeClr val="tx2"/>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solidFill>
      <a:schemeClr val="bg1"/>
    </a:solidFill>
    <a:ln w="9525" cap="flat" cmpd="sng" algn="ctr">
      <a:solidFill>
        <a:schemeClr val="tx2">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en-US"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单位：万元</a:t>
            </a:r>
            <a:endParaRPr lang="en-US"/>
          </a:p>
        </c:rich>
      </c:tx>
      <c:layout>
        <c:manualLayout>
          <c:xMode val="edge"/>
          <c:yMode val="edge"/>
          <c:x val="0.792429792429793"/>
          <c:y val="0.0416666666666667"/>
        </c:manualLayout>
      </c:layout>
      <c:overlay val="false"/>
      <c:spPr>
        <a:noFill/>
        <a:ln>
          <a:noFill/>
        </a:ln>
        <a:effectLst/>
      </c:spPr>
    </c:title>
    <c:autoTitleDeleted val="false"/>
    <c:plotArea>
      <c:layout/>
      <c:barChart>
        <c:barDir val="col"/>
        <c:grouping val="clustered"/>
        <c:varyColors val="false"/>
        <c:ser>
          <c:idx val="0"/>
          <c:order val="0"/>
          <c:tx>
            <c:strRef>
              <c:f>Sheet4!$B$1</c:f>
              <c:strCache>
                <c:ptCount val="1"/>
                <c:pt idx="0">
                  <c:v>2022</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Sheet4!$A$2</c:f>
              <c:strCache>
                <c:ptCount val="1"/>
                <c:pt idx="0">
                  <c:v>金额</c:v>
                </c:pt>
              </c:strCache>
            </c:strRef>
          </c:cat>
          <c:val>
            <c:numRef>
              <c:f>Sheet4!$B$2</c:f>
              <c:numCache>
                <c:formatCode>General</c:formatCode>
                <c:ptCount val="1"/>
                <c:pt idx="0">
                  <c:v>984</c:v>
                </c:pt>
              </c:numCache>
            </c:numRef>
          </c:val>
        </c:ser>
        <c:ser>
          <c:idx val="1"/>
          <c:order val="1"/>
          <c:tx>
            <c:strRef>
              <c:f>Sheet4!$C$1</c:f>
              <c:strCache>
                <c:ptCount val="1"/>
                <c:pt idx="0">
                  <c:v>2021</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Sheet4!$A$2</c:f>
              <c:strCache>
                <c:ptCount val="1"/>
                <c:pt idx="0">
                  <c:v>金额</c:v>
                </c:pt>
              </c:strCache>
            </c:strRef>
          </c:cat>
          <c:val>
            <c:numRef>
              <c:f>Sheet4!$C$2</c:f>
              <c:numCache>
                <c:formatCode>General</c:formatCode>
                <c:ptCount val="1"/>
                <c:pt idx="0">
                  <c:v>1308.31</c:v>
                </c:pt>
              </c:numCache>
            </c:numRef>
          </c:val>
        </c:ser>
        <c:dLbls>
          <c:showLegendKey val="false"/>
          <c:showVal val="true"/>
          <c:showCatName val="false"/>
          <c:showSerName val="false"/>
          <c:showPercent val="false"/>
          <c:showBubbleSize val="false"/>
        </c:dLbls>
        <c:gapWidth val="219"/>
        <c:overlap val="-27"/>
        <c:axId val="35184000"/>
        <c:axId val="217823488"/>
      </c:barChart>
      <c:catAx>
        <c:axId val="35184000"/>
        <c:scaling>
          <c:orientation val="minMax"/>
        </c:scaling>
        <c:delete val="true"/>
        <c:axPos val="b"/>
        <c:title>
          <c:tx>
            <c:rich>
              <a:bodyPr rot="0" spcFirstLastPara="1" vertOverflow="ellipsis" vert="horz" wrap="square" anchor="ctr" anchorCtr="true"/>
              <a:lstStyle/>
              <a:p>
                <a:pPr>
                  <a:defRPr lang="en-US"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zh-CN" sz="1050" b="0" i="0" u="none" strike="noStrike" baseline="0">
                    <a:effectLst/>
                  </a:rPr>
                  <a:t>财政拨款收、支决算总计变动情况</a:t>
                </a:r>
                <a:endParaRPr lang="en-US"/>
              </a:p>
            </c:rich>
          </c:tx>
          <c:layout>
            <c:manualLayout>
              <c:xMode val="edge"/>
              <c:yMode val="edge"/>
              <c:x val="0.294296866737812"/>
              <c:y val="0.785068897637796"/>
            </c:manualLayout>
          </c:layout>
          <c:overlay val="false"/>
          <c:spPr>
            <a:noFill/>
            <a:ln>
              <a:noFill/>
            </a:ln>
            <a:effectLst/>
          </c:spPr>
        </c:title>
        <c:numFmt formatCode="General" sourceLinked="true"/>
        <c:majorTickMark val="none"/>
        <c:minorTickMark val="none"/>
        <c:tickLblPos val="nextTo"/>
        <c:txPr>
          <a:bodyPr rot="-60000000" spcFirstLastPara="0" vertOverflow="ellipsis" vert="horz" wrap="square" anchor="ctr" anchorCtr="true"/>
          <a:lstStyle/>
          <a:p>
            <a:pPr>
              <a:defRPr lang="zh-CN" sz="1050" b="0" i="0" u="none" strike="noStrike" kern="1200" baseline="0">
                <a:solidFill>
                  <a:schemeClr val="tx1"/>
                </a:solidFill>
                <a:latin typeface="仿宋" panose="02010609060101010101" pitchFamily="3" charset="-122"/>
                <a:ea typeface="仿宋" panose="02010609060101010101" pitchFamily="3" charset="-122"/>
                <a:cs typeface="+mn-cs"/>
              </a:defRPr>
            </a:pPr>
          </a:p>
        </c:txPr>
        <c:crossAx val="217823488"/>
        <c:crosses val="autoZero"/>
        <c:auto val="true"/>
        <c:lblAlgn val="ctr"/>
        <c:lblOffset val="100"/>
        <c:noMultiLvlLbl val="false"/>
      </c:catAx>
      <c:valAx>
        <c:axId val="21782348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en-US"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35184000"/>
        <c:crosses val="autoZero"/>
        <c:crossBetween val="between"/>
      </c:valAx>
      <c:spPr>
        <a:noFill/>
        <a:ln>
          <a:noFill/>
        </a:ln>
        <a:effectLst/>
      </c:spPr>
    </c:plotArea>
    <c:legend>
      <c:legendPos val="b"/>
      <c:layout>
        <c:manualLayout>
          <c:xMode val="edge"/>
          <c:yMode val="edge"/>
          <c:x val="0.41757799505831"/>
          <c:y val="0.866318897637796"/>
          <c:w val="0.178461538461539"/>
          <c:h val="0.0759025955088947"/>
        </c:manualLayout>
      </c:layout>
      <c:overlay val="false"/>
      <c:spPr>
        <a:noFill/>
        <a:ln>
          <a:noFill/>
        </a:ln>
        <a:effectLst/>
      </c:spPr>
      <c:txPr>
        <a:bodyPr rot="0" spcFirstLastPara="1" vertOverflow="ellipsis" vert="horz" wrap="square" anchor="ctr" anchorCtr="true"/>
        <a:lstStyle/>
        <a:p>
          <a:pPr>
            <a:defRPr lang="en-US"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en-US"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单位：万元</a:t>
            </a:r>
            <a:endParaRPr lang="en-US"/>
          </a:p>
        </c:rich>
      </c:tx>
      <c:layout>
        <c:manualLayout>
          <c:xMode val="edge"/>
          <c:yMode val="edge"/>
          <c:x val="0.792429792429795"/>
          <c:y val="0.0416666666666667"/>
        </c:manualLayout>
      </c:layout>
      <c:overlay val="false"/>
      <c:spPr>
        <a:noFill/>
        <a:ln>
          <a:noFill/>
        </a:ln>
        <a:effectLst/>
      </c:spPr>
    </c:title>
    <c:autoTitleDeleted val="false"/>
    <c:plotArea>
      <c:layout/>
      <c:barChart>
        <c:barDir val="col"/>
        <c:grouping val="clustered"/>
        <c:varyColors val="false"/>
        <c:ser>
          <c:idx val="0"/>
          <c:order val="0"/>
          <c:tx>
            <c:strRef>
              <c:f>'Sheet4 (2)'!$B$1</c:f>
              <c:strCache>
                <c:ptCount val="1"/>
                <c:pt idx="0">
                  <c:v>2020</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'Sheet4 (2)'!$A$2</c:f>
              <c:strCache>
                <c:ptCount val="1"/>
                <c:pt idx="0">
                  <c:v>金额</c:v>
                </c:pt>
              </c:strCache>
            </c:strRef>
          </c:cat>
          <c:val>
            <c:numRef>
              <c:f>'Sheet4 (2)'!$B$2</c:f>
              <c:numCache>
                <c:formatCode>General</c:formatCode>
                <c:ptCount val="1"/>
                <c:pt idx="0">
                  <c:v>854.58</c:v>
                </c:pt>
              </c:numCache>
            </c:numRef>
          </c:val>
        </c:ser>
        <c:ser>
          <c:idx val="1"/>
          <c:order val="1"/>
          <c:tx>
            <c:strRef>
              <c:f>'Sheet4 (2)'!$C$1</c:f>
              <c:strCache>
                <c:ptCount val="1"/>
                <c:pt idx="0">
                  <c:v>2021</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'Sheet4 (2)'!$A$2</c:f>
              <c:strCache>
                <c:ptCount val="1"/>
                <c:pt idx="0">
                  <c:v>金额</c:v>
                </c:pt>
              </c:strCache>
            </c:strRef>
          </c:cat>
          <c:val>
            <c:numRef>
              <c:f>'Sheet4 (2)'!$C$2</c:f>
              <c:numCache>
                <c:formatCode>General</c:formatCode>
                <c:ptCount val="1"/>
                <c:pt idx="0">
                  <c:v>1232.49</c:v>
                </c:pt>
              </c:numCache>
            </c:numRef>
          </c:val>
        </c:ser>
        <c:dLbls>
          <c:showLegendKey val="false"/>
          <c:showVal val="true"/>
          <c:showCatName val="false"/>
          <c:showSerName val="false"/>
          <c:showPercent val="false"/>
          <c:showBubbleSize val="false"/>
        </c:dLbls>
        <c:gapWidth val="219"/>
        <c:overlap val="-27"/>
        <c:axId val="249582336"/>
        <c:axId val="265044352"/>
      </c:barChart>
      <c:catAx>
        <c:axId val="249582336"/>
        <c:scaling>
          <c:orientation val="minMax"/>
        </c:scaling>
        <c:delete val="true"/>
        <c:axPos val="b"/>
        <c:title>
          <c:tx>
            <c:rich>
              <a:bodyPr rot="0" spcFirstLastPara="1" vertOverflow="ellipsis" vert="horz" wrap="square" anchor="ctr" anchorCtr="true"/>
              <a:lstStyle/>
              <a:p>
                <a:pPr>
                  <a:defRPr lang="en-US"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一般公共预算财政拨款支出决算变动情况</a:t>
                </a:r>
                <a:endParaRPr lang="en-US"/>
              </a:p>
            </c:rich>
          </c:tx>
          <c:layout>
            <c:manualLayout>
              <c:xMode val="edge"/>
              <c:yMode val="edge"/>
              <c:x val="0.294296866737813"/>
              <c:y val="0.785068897637797"/>
            </c:manualLayout>
          </c:layout>
          <c:overlay val="false"/>
          <c:spPr>
            <a:noFill/>
            <a:ln>
              <a:noFill/>
            </a:ln>
            <a:effectLst/>
          </c:spPr>
        </c:title>
        <c:numFmt formatCode="General" sourceLinked="true"/>
        <c:majorTickMark val="none"/>
        <c:minorTickMark val="none"/>
        <c:tickLblPos val="nextTo"/>
        <c:txPr>
          <a:bodyPr rot="-60000000" spcFirstLastPara="0" vertOverflow="ellipsis" vert="horz" wrap="square" anchor="ctr" anchorCtr="true"/>
          <a:lstStyle/>
          <a:p>
            <a:pPr>
              <a:defRPr lang="zh-CN" sz="1050" b="0" i="0" u="none" strike="noStrike" kern="1200" baseline="0">
                <a:solidFill>
                  <a:schemeClr val="tx1"/>
                </a:solidFill>
                <a:latin typeface="仿宋" panose="02010609060101010101" pitchFamily="3" charset="-122"/>
                <a:ea typeface="仿宋" panose="02010609060101010101" pitchFamily="3" charset="-122"/>
                <a:cs typeface="+mn-cs"/>
              </a:defRPr>
            </a:pPr>
          </a:p>
        </c:txPr>
        <c:crossAx val="265044352"/>
        <c:crosses val="autoZero"/>
        <c:auto val="true"/>
        <c:lblAlgn val="ctr"/>
        <c:lblOffset val="100"/>
        <c:noMultiLvlLbl val="false"/>
      </c:catAx>
      <c:valAx>
        <c:axId val="26504435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en-US"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249582336"/>
        <c:crosses val="autoZero"/>
        <c:crossBetween val="between"/>
      </c:valAx>
      <c:spPr>
        <a:noFill/>
        <a:ln>
          <a:noFill/>
        </a:ln>
        <a:effectLst/>
      </c:spPr>
    </c:plotArea>
    <c:legend>
      <c:legendPos val="b"/>
      <c:layout>
        <c:manualLayout>
          <c:xMode val="edge"/>
          <c:yMode val="edge"/>
          <c:x val="0.417577995058311"/>
          <c:y val="0.866318897637796"/>
          <c:w val="0.178461538461539"/>
          <c:h val="0.0759025955088947"/>
        </c:manualLayout>
      </c:layout>
      <c:overlay val="false"/>
      <c:spPr>
        <a:noFill/>
        <a:ln>
          <a:noFill/>
        </a:ln>
        <a:effectLst/>
      </c:spPr>
      <c:txPr>
        <a:bodyPr rot="0" spcFirstLastPara="1" vertOverflow="ellipsis" vert="horz" wrap="square" anchor="ctr" anchorCtr="true"/>
        <a:lstStyle/>
        <a:p>
          <a:pPr>
            <a:defRPr lang="en-US"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en-US" sz="1260" b="1" i="0" u="none" strike="noStrike" kern="1200" spc="0" normalizeH="0" baseline="0">
                <a:solidFill>
                  <a:schemeClr val="dk1">
                    <a:lumMod val="50000"/>
                    <a:lumOff val="50000"/>
                  </a:schemeClr>
                </a:solidFill>
                <a:latin typeface="仿宋" panose="02010609060101010101" pitchFamily="3" charset="-122"/>
                <a:ea typeface="仿宋" panose="02010609060101010101" pitchFamily="3" charset="-122"/>
                <a:cs typeface="+mj-cs"/>
              </a:defRPr>
            </a:pPr>
            <a:r>
              <a:rPr lang="zh-CN"/>
              <a:t>一般公共预算财政拨款支出决算结构</a:t>
            </a:r>
            <a:endParaRPr lang="en-US"/>
          </a:p>
        </c:rich>
      </c:tx>
      <c:layout/>
      <c:overlay val="false"/>
      <c:spPr>
        <a:noFill/>
        <a:ln>
          <a:noFill/>
        </a:ln>
        <a:effectLst/>
      </c:spPr>
    </c:title>
    <c:autoTitleDeleted val="false"/>
    <c:plotArea>
      <c:layout/>
      <c:pieChart>
        <c:varyColors val="true"/>
        <c:ser>
          <c:idx val="0"/>
          <c:order val="0"/>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Pt>
            <c:idx val="3"/>
            <c:bubble3D val="false"/>
            <c:spPr>
              <a:gradFill>
                <a:gsLst>
                  <a:gs pos="100000">
                    <a:schemeClr val="accent4">
                      <a:lumMod val="60000"/>
                      <a:lumOff val="40000"/>
                    </a:schemeClr>
                  </a:gs>
                  <a:gs pos="0">
                    <a:schemeClr val="accent4"/>
                  </a:gs>
                </a:gsLst>
                <a:lin ang="5400000" scaled="false"/>
              </a:gradFill>
              <a:ln w="19050">
                <a:solidFill>
                  <a:schemeClr val="lt1"/>
                </a:solidFill>
              </a:ln>
              <a:effectLst/>
            </c:spPr>
          </c:dPt>
          <c:dPt>
            <c:idx val="4"/>
            <c:bubble3D val="false"/>
            <c:spPr>
              <a:gradFill>
                <a:gsLst>
                  <a:gs pos="100000">
                    <a:schemeClr val="accent5">
                      <a:lumMod val="60000"/>
                      <a:lumOff val="40000"/>
                    </a:schemeClr>
                  </a:gs>
                  <a:gs pos="0">
                    <a:schemeClr val="accent5"/>
                  </a:gs>
                </a:gsLst>
                <a:lin ang="5400000" scaled="false"/>
              </a:gradFill>
              <a:ln w="19050">
                <a:solidFill>
                  <a:schemeClr val="lt1"/>
                </a:solidFill>
              </a:ln>
              <a:effectLst/>
            </c:spPr>
          </c:dPt>
          <c:dLbls>
            <c:dLbl>
              <c:idx val="4"/>
              <c:layout>
                <c:manualLayout>
                  <c:x val="0.0399914698162729"/>
                  <c:y val="0.14013378536016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dk1">
                        <a:lumMod val="75000"/>
                        <a:lumOff val="25000"/>
                      </a:schemeClr>
                    </a:solidFill>
                    <a:latin typeface="仿宋" panose="02010609060101010101" pitchFamily="3" charset="-122"/>
                    <a:ea typeface="仿宋" panose="02010609060101010101" pitchFamily="3" charset="-122"/>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prstDash val="solid"/>
                      <a:round/>
                    </a:ln>
                    <a:effectLst/>
                  </c:spPr>
                </c15:leaderLines>
              </c:ext>
            </c:extLst>
          </c:dLbls>
          <c:cat>
            <c:strRef>
              <c:f>Sheet5!$A$1:$A$5</c:f>
              <c:strCache>
                <c:ptCount val="5"/>
                <c:pt idx="0">
                  <c:v>一般公共服务（类）支出</c:v>
                </c:pt>
                <c:pt idx="1">
                  <c:v>教育支出（类）支出</c:v>
                </c:pt>
                <c:pt idx="2">
                  <c:v>社会保障和就业（类）支出</c:v>
                </c:pt>
                <c:pt idx="3">
                  <c:v>卫生健康支出</c:v>
                </c:pt>
                <c:pt idx="4">
                  <c:v>住房保障支出</c:v>
                </c:pt>
              </c:strCache>
            </c:strRef>
          </c:cat>
          <c:val>
            <c:numRef>
              <c:f>Sheet5!$B$1:$B$5</c:f>
              <c:numCache>
                <c:formatCode>General</c:formatCode>
                <c:ptCount val="5"/>
                <c:pt idx="0">
                  <c:v>943.04</c:v>
                </c:pt>
                <c:pt idx="1">
                  <c:v>4</c:v>
                </c:pt>
                <c:pt idx="2">
                  <c:v>194.49</c:v>
                </c:pt>
                <c:pt idx="3">
                  <c:v>41.55</c:v>
                </c:pt>
                <c:pt idx="4">
                  <c:v>49.41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solidFill>
          <a:schemeClr val="lt1">
            <a:alpha val="50000"/>
          </a:schemeClr>
        </a:solidFill>
        <a:ln>
          <a:noFill/>
        </a:ln>
        <a:effectLst/>
      </c:spPr>
      <c:txPr>
        <a:bodyPr rot="0" spcFirstLastPara="1" vertOverflow="ellipsis" vert="horz" wrap="square" anchor="ctr" anchorCtr="true"/>
        <a:lstStyle/>
        <a:p>
          <a:pPr>
            <a:defRPr lang="en-US" sz="1050" b="0"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en-US" sz="1260" b="1" i="0" u="none" strike="noStrike" kern="1200" spc="0" normalizeH="0" baseline="0">
                <a:solidFill>
                  <a:schemeClr val="dk1">
                    <a:lumMod val="50000"/>
                    <a:lumOff val="50000"/>
                  </a:schemeClr>
                </a:solidFill>
                <a:latin typeface="仿宋" panose="02010609060101010101" pitchFamily="3" charset="-122"/>
                <a:ea typeface="仿宋" panose="02010609060101010101" pitchFamily="3" charset="-122"/>
                <a:cs typeface="+mj-cs"/>
              </a:defRPr>
            </a:pPr>
            <a:r>
              <a:rPr lang="zh-CN"/>
              <a:t>“三公”经费财政拨款支出结构</a:t>
            </a:r>
            <a:endParaRPr lang="en-US"/>
          </a:p>
        </c:rich>
      </c:tx>
      <c:layout/>
      <c:overlay val="false"/>
      <c:spPr>
        <a:noFill/>
        <a:ln>
          <a:noFill/>
        </a:ln>
        <a:effectLst/>
      </c:spPr>
    </c:title>
    <c:autoTitleDeleted val="false"/>
    <c:plotArea>
      <c:layout/>
      <c:pieChart>
        <c:varyColors val="true"/>
        <c:ser>
          <c:idx val="0"/>
          <c:order val="0"/>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Lbls>
            <c:numFmt formatCode="0.00%" sourceLinked="false"/>
            <c:spPr>
              <a:noFill/>
              <a:ln>
                <a:noFill/>
              </a:ln>
              <a:effectLst/>
            </c:spPr>
            <c:txPr>
              <a:bodyPr rot="0" spcFirstLastPara="1" vertOverflow="ellipsis" vert="horz" wrap="square" lIns="38100" tIns="19050" rIns="38100" bIns="19050" anchor="ctr" anchorCtr="true"/>
              <a:lstStyle/>
              <a:p>
                <a:pPr>
                  <a:defRPr lang="en-US" sz="1050" b="0" i="0" u="none" strike="noStrike" kern="1200" baseline="0">
                    <a:solidFill>
                      <a:schemeClr val="dk1">
                        <a:lumMod val="75000"/>
                        <a:lumOff val="25000"/>
                      </a:schemeClr>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prstDash val="solid"/>
                      <a:round/>
                    </a:ln>
                    <a:effectLst/>
                  </c:spPr>
                </c15:leaderLines>
              </c:ext>
            </c:extLst>
          </c:dLbls>
          <c:cat>
            <c:strRef>
              <c:f>Sheet6!$A$1:$A$3</c:f>
              <c:strCache>
                <c:ptCount val="3"/>
                <c:pt idx="0">
                  <c:v>因公出国（境）费支出</c:v>
                </c:pt>
                <c:pt idx="1">
                  <c:v>公务用车购置及运行维护费支出</c:v>
                </c:pt>
                <c:pt idx="2">
                  <c:v>公务接待费支出</c:v>
                </c:pt>
              </c:strCache>
            </c:strRef>
          </c:cat>
          <c:val>
            <c:numRef>
              <c:f>Sheet6!$B$1:$B$3</c:f>
              <c:numCache>
                <c:formatCode>General</c:formatCode>
                <c:ptCount val="3"/>
                <c:pt idx="0">
                  <c:v>0</c:v>
                </c:pt>
                <c:pt idx="1" c:formatCode="0.00_ ">
                  <c:v>17.25</c:v>
                </c:pt>
                <c:pt idx="2" c:formatCode="0.00_ ">
                  <c:v>39.37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manualLayout>
          <c:xMode val="edge"/>
          <c:yMode val="edge"/>
          <c:x val="0.596837690617351"/>
          <c:y val="0.367749485859722"/>
          <c:w val="0.388714921951877"/>
          <c:h val="0.386578950358478"/>
        </c:manualLayout>
      </c:layout>
      <c:overlay val="false"/>
      <c:spPr>
        <a:solidFill>
          <a:schemeClr val="lt1">
            <a:alpha val="50000"/>
          </a:schemeClr>
        </a:solidFill>
        <a:ln>
          <a:noFill/>
        </a:ln>
        <a:effectLst/>
      </c:spPr>
      <c:txPr>
        <a:bodyPr rot="0" spcFirstLastPara="1" vertOverflow="ellipsis" vert="horz" wrap="square" anchor="ctr" anchorCtr="true"/>
        <a:lstStyle/>
        <a:p>
          <a:pPr>
            <a:defRPr lang="en-US" sz="1050" b="0"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1566</Words>
  <Characters>8927</Characters>
  <Lines>74</Lines>
  <Paragraphs>20</Paragraphs>
  <TotalTime>0</TotalTime>
  <ScaleCrop>false</ScaleCrop>
  <LinksUpToDate>false</LinksUpToDate>
  <CharactersWithSpaces>10473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2022-09-06T17:28:00Z</dcterms:created>
  <dc:creator>曹颖</dc:creator>
  <cp:lastModifiedBy>user</cp:lastModifiedBy>
  <cp:lastPrinted>2022-08-07T18:23:00Z</cp:lastPrinted>
  <dcterms:modified xsi:type="dcterms:W3CDTF">2022-11-11T16:30:41Z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