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78441"/>
      <w:bookmarkStart w:id="3" w:name="_Toc15396597"/>
      <w:bookmarkStart w:id="4" w:name="_Toc15396475"/>
      <w:bookmarkStart w:id="5" w:name="_Toc15377193"/>
      <w:r>
        <w:rPr>
          <w:rFonts w:hint="eastAsia" w:ascii="方正小标宋简体" w:hAnsi="宋体" w:eastAsia="方正小标宋简体"/>
          <w:color w:val="000000"/>
          <w:sz w:val="72"/>
          <w:szCs w:val="72"/>
        </w:rPr>
        <w:t>2020年度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77426"/>
      <w:bookmarkStart w:id="8" w:name="_Toc15377194"/>
      <w:bookmarkStart w:id="9" w:name="_Toc15396598"/>
      <w:bookmarkStart w:id="10" w:name="_Toc1539647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人民政府驻重庆办事处单位决算</w:t>
      </w:r>
      <w:bookmarkEnd w:id="6"/>
      <w:bookmarkEnd w:id="7"/>
      <w:bookmarkEnd w:id="8"/>
      <w:bookmarkEnd w:id="9"/>
      <w:bookmarkEnd w:id="10"/>
      <w:bookmarkEnd w:id="11"/>
    </w:p>
    <w:p>
      <w:pPr>
        <w:widowControl/>
        <w:jc w:val="center"/>
        <w:rPr>
          <w:rFonts w:ascii="黑体" w:hAnsi="黑体" w:eastAsia="黑体"/>
          <w:color w:val="000000"/>
          <w:sz w:val="48"/>
          <w:szCs w:val="4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start="1"/>
          <w:cols w:space="425" w:num="1"/>
          <w:titlePg/>
          <w:docGrid w:type="lines" w:linePitch="312" w:charSpace="0"/>
        </w:sectPr>
      </w:pPr>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公开时间：2021年9月10日</w:t>
      </w:r>
    </w:p>
    <w:p/>
    <w:p>
      <w:pPr>
        <w:adjustRightInd w:val="0"/>
        <w:snapToGrid w:val="0"/>
        <w:spacing w:line="440" w:lineRule="exact"/>
        <w:jc w:val="distribute"/>
        <w:rPr>
          <w:rFonts w:eastAsia="黑体"/>
          <w:color w:val="000000" w:themeColor="text1"/>
          <w:sz w:val="24"/>
        </w:rPr>
      </w:pPr>
      <w:bookmarkStart w:id="12" w:name="_Toc15377196"/>
      <w:bookmarkStart w:id="13" w:name="_Toc15396599"/>
      <w:r>
        <w:rPr>
          <w:rFonts w:hint="eastAsia" w:ascii="黑体" w:hAnsi="黑体" w:eastAsia="黑体"/>
          <w:color w:val="000000" w:themeColor="text1"/>
          <w:sz w:val="24"/>
          <w:szCs w:val="28"/>
        </w:rPr>
        <w:t xml:space="preserve">第一部分单位概况 </w:t>
      </w:r>
      <w:r>
        <w:rPr>
          <w:rFonts w:eastAsia="仿宋"/>
          <w:color w:val="000000" w:themeColor="text1"/>
          <w:sz w:val="24"/>
          <w:szCs w:val="28"/>
        </w:rPr>
        <w:t>………………………………………………………………… 1</w:t>
      </w:r>
    </w:p>
    <w:p>
      <w:pPr>
        <w:adjustRightInd w:val="0"/>
        <w:snapToGrid w:val="0"/>
        <w:spacing w:line="440" w:lineRule="exact"/>
        <w:jc w:val="distribute"/>
        <w:rPr>
          <w:color w:val="000000" w:themeColor="text1"/>
          <w:sz w:val="24"/>
        </w:rPr>
      </w:pPr>
      <w:r>
        <w:rPr>
          <w:color w:val="000000" w:themeColor="text1"/>
          <w:sz w:val="24"/>
        </w:rPr>
        <w:t>一、职能简介 ……………………………………………………………………… 1</w:t>
      </w:r>
    </w:p>
    <w:p>
      <w:pPr>
        <w:adjustRightInd w:val="0"/>
        <w:snapToGrid w:val="0"/>
        <w:spacing w:line="440" w:lineRule="exact"/>
        <w:jc w:val="distribute"/>
        <w:rPr>
          <w:rFonts w:hint="eastAsia"/>
          <w:color w:val="000000" w:themeColor="text1"/>
          <w:sz w:val="24"/>
        </w:rPr>
      </w:pPr>
      <w:r>
        <w:rPr>
          <w:rFonts w:eastAsiaTheme="minorEastAsia"/>
          <w:color w:val="000000" w:themeColor="text1"/>
          <w:sz w:val="24"/>
        </w:rPr>
        <w:t xml:space="preserve">二、2020年重点工作完成情况 </w:t>
      </w:r>
      <w:r>
        <w:rPr>
          <w:color w:val="000000" w:themeColor="text1"/>
          <w:sz w:val="24"/>
        </w:rPr>
        <w:t xml:space="preserve">…………………………………………………... </w:t>
      </w:r>
      <w:r>
        <w:rPr>
          <w:rFonts w:hint="eastAsia"/>
          <w:color w:val="000000" w:themeColor="text1"/>
          <w:sz w:val="24"/>
        </w:rPr>
        <w:t>1</w:t>
      </w:r>
    </w:p>
    <w:p>
      <w:pPr>
        <w:adjustRightInd w:val="0"/>
        <w:snapToGrid w:val="0"/>
        <w:spacing w:line="440" w:lineRule="exact"/>
        <w:jc w:val="distribute"/>
        <w:rPr>
          <w:rFonts w:hint="eastAsia" w:eastAsia="宋体"/>
          <w:color w:val="000000" w:themeColor="text1"/>
          <w:sz w:val="24"/>
          <w:lang w:eastAsia="zh-CN"/>
        </w:rPr>
      </w:pPr>
      <w:r>
        <w:rPr>
          <w:rFonts w:hint="eastAsia" w:eastAsiaTheme="minorEastAsia"/>
          <w:color w:val="000000" w:themeColor="text1"/>
          <w:sz w:val="24"/>
          <w:lang w:eastAsia="zh-CN"/>
        </w:rPr>
        <w:t>三</w:t>
      </w:r>
      <w:r>
        <w:rPr>
          <w:rFonts w:eastAsiaTheme="minorEastAsia"/>
          <w:color w:val="000000" w:themeColor="text1"/>
          <w:sz w:val="24"/>
        </w:rPr>
        <w:t>、</w:t>
      </w:r>
      <w:r>
        <w:rPr>
          <w:rFonts w:hint="eastAsia" w:ascii="Times New Roman" w:hAnsi="Times New Roman" w:cs="Times New Roman" w:eastAsiaTheme="minorEastAsia"/>
          <w:color w:val="000000" w:themeColor="text1"/>
          <w:sz w:val="24"/>
          <w:lang w:val="en-US" w:eastAsia="zh-CN"/>
        </w:rPr>
        <w:t>机构设置情况</w:t>
      </w:r>
      <w:r>
        <w:rPr>
          <w:rFonts w:ascii="Times New Roman" w:hAnsi="Times New Roman" w:cs="Times New Roman" w:eastAsiaTheme="minorEastAsia"/>
          <w:color w:val="000000" w:themeColor="text1"/>
          <w:sz w:val="24"/>
        </w:rPr>
        <w:t xml:space="preserve"> </w:t>
      </w:r>
      <w:r>
        <w:rPr>
          <w:rFonts w:hint="eastAsia" w:ascii="Times New Roman" w:hAnsi="Times New Roman" w:cs="Times New Roman" w:eastAsiaTheme="minorEastAsia"/>
          <w:color w:val="000000" w:themeColor="text1"/>
          <w:sz w:val="24"/>
          <w:lang w:val="en-US" w:eastAsia="zh-CN"/>
        </w:rPr>
        <w:t>......</w:t>
      </w:r>
      <w:r>
        <w:rPr>
          <w:color w:val="000000" w:themeColor="text1"/>
          <w:sz w:val="24"/>
        </w:rPr>
        <w:t>…………………………………………………...</w:t>
      </w:r>
      <w:r>
        <w:rPr>
          <w:rFonts w:hint="eastAsia"/>
          <w:color w:val="000000" w:themeColor="text1"/>
          <w:sz w:val="24"/>
          <w:lang w:val="en-US" w:eastAsia="zh-CN"/>
        </w:rPr>
        <w:t>2</w:t>
      </w:r>
      <w:bookmarkStart w:id="66" w:name="_GoBack"/>
      <w:bookmarkEnd w:id="66"/>
    </w:p>
    <w:p>
      <w:pPr>
        <w:adjustRightInd w:val="0"/>
        <w:snapToGrid w:val="0"/>
        <w:spacing w:line="440" w:lineRule="exact"/>
        <w:jc w:val="distribute"/>
        <w:rPr>
          <w:rFonts w:eastAsia="黑体"/>
          <w:color w:val="000000" w:themeColor="text1"/>
          <w:sz w:val="24"/>
          <w:szCs w:val="28"/>
        </w:rPr>
      </w:pPr>
      <w:r>
        <w:rPr>
          <w:rFonts w:eastAsia="黑体"/>
          <w:color w:val="000000" w:themeColor="text1"/>
          <w:sz w:val="24"/>
          <w:szCs w:val="28"/>
        </w:rPr>
        <w:t>第二部分 2020年度单位决算情况说明</w:t>
      </w:r>
      <w:r>
        <w:rPr>
          <w:rFonts w:eastAsia="仿宋"/>
          <w:color w:val="000000" w:themeColor="text1"/>
          <w:sz w:val="24"/>
          <w:szCs w:val="28"/>
        </w:rPr>
        <w:t xml:space="preserve">…………………………………………... </w:t>
      </w:r>
      <w:r>
        <w:rPr>
          <w:rFonts w:hint="eastAsia" w:eastAsia="仿宋"/>
          <w:color w:val="000000" w:themeColor="text1"/>
          <w:sz w:val="24"/>
          <w:szCs w:val="28"/>
        </w:rPr>
        <w:t>3</w:t>
      </w:r>
    </w:p>
    <w:p>
      <w:pPr>
        <w:adjustRightInd w:val="0"/>
        <w:snapToGrid w:val="0"/>
        <w:spacing w:line="440" w:lineRule="exact"/>
        <w:jc w:val="distribute"/>
        <w:rPr>
          <w:rFonts w:eastAsia="仿宋"/>
          <w:color w:val="000000" w:themeColor="text1"/>
          <w:sz w:val="24"/>
        </w:rPr>
      </w:pPr>
      <w:r>
        <w:rPr>
          <w:color w:val="000000" w:themeColor="text1"/>
          <w:sz w:val="24"/>
        </w:rPr>
        <w:t xml:space="preserve">一、收入支出决算总体情况说明………………………………………………….. </w:t>
      </w:r>
      <w:r>
        <w:rPr>
          <w:rFonts w:hint="eastAsia"/>
          <w:color w:val="000000" w:themeColor="text1"/>
          <w:sz w:val="24"/>
        </w:rPr>
        <w:t>3</w:t>
      </w:r>
    </w:p>
    <w:p>
      <w:pPr>
        <w:adjustRightInd w:val="0"/>
        <w:snapToGrid w:val="0"/>
        <w:spacing w:line="440" w:lineRule="exact"/>
        <w:jc w:val="distribute"/>
        <w:rPr>
          <w:rFonts w:eastAsia="仿宋"/>
          <w:color w:val="000000" w:themeColor="text1"/>
          <w:sz w:val="24"/>
        </w:rPr>
      </w:pPr>
      <w:r>
        <w:rPr>
          <w:color w:val="000000" w:themeColor="text1"/>
          <w:sz w:val="24"/>
        </w:rPr>
        <w:t xml:space="preserve">二、收入决算情况说明…………………………………………………………….. </w:t>
      </w:r>
      <w:r>
        <w:rPr>
          <w:rFonts w:hint="eastAsia"/>
          <w:color w:val="000000" w:themeColor="text1"/>
          <w:sz w:val="24"/>
        </w:rPr>
        <w:t>3</w:t>
      </w:r>
    </w:p>
    <w:p>
      <w:pPr>
        <w:adjustRightInd w:val="0"/>
        <w:snapToGrid w:val="0"/>
        <w:spacing w:line="440" w:lineRule="exact"/>
        <w:jc w:val="distribute"/>
        <w:rPr>
          <w:rFonts w:eastAsia="仿宋"/>
          <w:color w:val="000000" w:themeColor="text1"/>
          <w:sz w:val="24"/>
        </w:rPr>
      </w:pPr>
      <w:r>
        <w:rPr>
          <w:color w:val="000000" w:themeColor="text1"/>
          <w:sz w:val="24"/>
        </w:rPr>
        <w:t xml:space="preserve">三、支出决算情况说明…………………………………………………………….. </w:t>
      </w:r>
      <w:r>
        <w:rPr>
          <w:rFonts w:hint="eastAsia"/>
          <w:color w:val="000000" w:themeColor="text1"/>
          <w:sz w:val="24"/>
        </w:rPr>
        <w:t>4</w:t>
      </w:r>
    </w:p>
    <w:p>
      <w:pPr>
        <w:adjustRightInd w:val="0"/>
        <w:snapToGrid w:val="0"/>
        <w:spacing w:line="440" w:lineRule="exact"/>
        <w:jc w:val="distribute"/>
        <w:rPr>
          <w:rFonts w:eastAsia="仿宋"/>
          <w:color w:val="000000" w:themeColor="text1"/>
          <w:sz w:val="24"/>
        </w:rPr>
      </w:pPr>
      <w:r>
        <w:rPr>
          <w:color w:val="000000" w:themeColor="text1"/>
          <w:sz w:val="24"/>
        </w:rPr>
        <w:t xml:space="preserve">四、财政拨款收入支出决算总体情况说明……………………………………….. </w:t>
      </w:r>
      <w:r>
        <w:rPr>
          <w:rFonts w:hint="eastAsia"/>
          <w:color w:val="000000" w:themeColor="text1"/>
          <w:sz w:val="24"/>
        </w:rPr>
        <w:t>4</w:t>
      </w:r>
    </w:p>
    <w:p>
      <w:pPr>
        <w:adjustRightInd w:val="0"/>
        <w:snapToGrid w:val="0"/>
        <w:spacing w:line="440" w:lineRule="exact"/>
        <w:jc w:val="distribute"/>
        <w:rPr>
          <w:rFonts w:eastAsia="仿宋"/>
          <w:color w:val="000000" w:themeColor="text1"/>
          <w:sz w:val="24"/>
        </w:rPr>
      </w:pPr>
      <w:r>
        <w:rPr>
          <w:color w:val="000000" w:themeColor="text1"/>
          <w:sz w:val="24"/>
        </w:rPr>
        <w:t xml:space="preserve">五、一般公共预算财政拨款支出决算情况说明………………………………….. </w:t>
      </w:r>
      <w:r>
        <w:rPr>
          <w:rFonts w:hint="eastAsia"/>
          <w:color w:val="000000" w:themeColor="text1"/>
          <w:sz w:val="24"/>
        </w:rPr>
        <w:t>5</w:t>
      </w:r>
    </w:p>
    <w:p>
      <w:pPr>
        <w:adjustRightInd w:val="0"/>
        <w:snapToGrid w:val="0"/>
        <w:spacing w:line="440" w:lineRule="exact"/>
        <w:jc w:val="distribute"/>
        <w:rPr>
          <w:rFonts w:eastAsia="仿宋"/>
          <w:color w:val="000000" w:themeColor="text1"/>
          <w:sz w:val="24"/>
        </w:rPr>
      </w:pPr>
      <w:r>
        <w:rPr>
          <w:color w:val="000000" w:themeColor="text1"/>
          <w:sz w:val="24"/>
        </w:rPr>
        <w:t>六、一般公共预算财政拨款基本支出决算情况说明…………………………….</w:t>
      </w:r>
      <w:r>
        <w:rPr>
          <w:rFonts w:hint="eastAsia"/>
          <w:color w:val="000000" w:themeColor="text1"/>
          <w:sz w:val="24"/>
        </w:rPr>
        <w:t xml:space="preserve"> 8</w:t>
      </w:r>
    </w:p>
    <w:p>
      <w:pPr>
        <w:adjustRightInd w:val="0"/>
        <w:snapToGrid w:val="0"/>
        <w:spacing w:line="440" w:lineRule="exact"/>
        <w:jc w:val="distribute"/>
        <w:rPr>
          <w:rFonts w:eastAsia="仿宋"/>
          <w:color w:val="000000" w:themeColor="text1"/>
          <w:sz w:val="24"/>
        </w:rPr>
      </w:pPr>
      <w:r>
        <w:rPr>
          <w:color w:val="000000" w:themeColor="text1"/>
          <w:sz w:val="24"/>
        </w:rPr>
        <w:t>七、“三公”经费财政拨款支出决算情况说明……………………………………</w:t>
      </w:r>
      <w:r>
        <w:rPr>
          <w:rFonts w:hint="eastAsia"/>
          <w:color w:val="000000" w:themeColor="text1"/>
          <w:sz w:val="24"/>
        </w:rPr>
        <w:t>. 8</w:t>
      </w:r>
    </w:p>
    <w:p>
      <w:pPr>
        <w:adjustRightInd w:val="0"/>
        <w:snapToGrid w:val="0"/>
        <w:spacing w:line="440" w:lineRule="exact"/>
        <w:jc w:val="distribute"/>
        <w:rPr>
          <w:rFonts w:eastAsia="仿宋"/>
          <w:color w:val="000000" w:themeColor="text1"/>
          <w:sz w:val="24"/>
        </w:rPr>
      </w:pPr>
      <w:r>
        <w:rPr>
          <w:color w:val="000000" w:themeColor="text1"/>
          <w:sz w:val="24"/>
        </w:rPr>
        <w:t>八、政府性基金预算支出决算情况说明…………………………………………. 1</w:t>
      </w:r>
      <w:r>
        <w:rPr>
          <w:rFonts w:hint="eastAsia"/>
          <w:color w:val="000000" w:themeColor="text1"/>
          <w:sz w:val="24"/>
        </w:rPr>
        <w:t>0</w:t>
      </w:r>
    </w:p>
    <w:p>
      <w:pPr>
        <w:adjustRightInd w:val="0"/>
        <w:snapToGrid w:val="0"/>
        <w:spacing w:line="440" w:lineRule="exact"/>
        <w:jc w:val="distribute"/>
        <w:rPr>
          <w:color w:val="000000" w:themeColor="text1"/>
          <w:sz w:val="24"/>
        </w:rPr>
      </w:pPr>
      <w:r>
        <w:rPr>
          <w:color w:val="000000" w:themeColor="text1"/>
          <w:sz w:val="24"/>
        </w:rPr>
        <w:t>九、国有资本经营预算支出决算情况说明………………………………………. 1</w:t>
      </w:r>
      <w:r>
        <w:rPr>
          <w:rFonts w:hint="eastAsia"/>
          <w:color w:val="000000" w:themeColor="text1"/>
          <w:sz w:val="24"/>
        </w:rPr>
        <w:t>0</w:t>
      </w:r>
    </w:p>
    <w:p>
      <w:pPr>
        <w:adjustRightInd w:val="0"/>
        <w:snapToGrid w:val="0"/>
        <w:spacing w:line="440" w:lineRule="exact"/>
        <w:jc w:val="distribute"/>
        <w:rPr>
          <w:color w:val="000000" w:themeColor="text1"/>
          <w:sz w:val="24"/>
        </w:rPr>
      </w:pPr>
      <w:r>
        <w:rPr>
          <w:color w:val="000000" w:themeColor="text1"/>
          <w:sz w:val="24"/>
        </w:rPr>
        <w:t>十、其他重要事项的情况说明……………………………………………………. 1</w:t>
      </w:r>
      <w:r>
        <w:rPr>
          <w:rFonts w:hint="eastAsia"/>
          <w:color w:val="000000" w:themeColor="text1"/>
          <w:sz w:val="24"/>
        </w:rPr>
        <w:t>0</w:t>
      </w:r>
    </w:p>
    <w:p>
      <w:pPr>
        <w:adjustRightInd w:val="0"/>
        <w:snapToGrid w:val="0"/>
        <w:spacing w:line="440" w:lineRule="exact"/>
        <w:jc w:val="distribute"/>
        <w:rPr>
          <w:rFonts w:eastAsia="黑体"/>
          <w:color w:val="000000" w:themeColor="text1"/>
          <w:sz w:val="24"/>
          <w:szCs w:val="28"/>
        </w:rPr>
      </w:pPr>
      <w:r>
        <w:rPr>
          <w:rFonts w:hAnsi="黑体" w:eastAsia="黑体"/>
          <w:color w:val="000000" w:themeColor="text1"/>
          <w:sz w:val="24"/>
          <w:szCs w:val="28"/>
        </w:rPr>
        <w:t>第三部分名词解释</w:t>
      </w:r>
      <w:r>
        <w:rPr>
          <w:rFonts w:eastAsia="仿宋"/>
          <w:color w:val="000000" w:themeColor="text1"/>
          <w:sz w:val="24"/>
          <w:szCs w:val="28"/>
        </w:rPr>
        <w:t>…………………………………………………………………. 1</w:t>
      </w:r>
      <w:r>
        <w:rPr>
          <w:rFonts w:hint="eastAsia" w:eastAsia="仿宋"/>
          <w:color w:val="000000" w:themeColor="text1"/>
          <w:sz w:val="24"/>
          <w:szCs w:val="28"/>
        </w:rPr>
        <w:t>2</w:t>
      </w:r>
    </w:p>
    <w:p>
      <w:pPr>
        <w:adjustRightInd w:val="0"/>
        <w:snapToGrid w:val="0"/>
        <w:spacing w:line="440" w:lineRule="exact"/>
        <w:jc w:val="distribute"/>
        <w:rPr>
          <w:rFonts w:eastAsia="黑体"/>
          <w:color w:val="000000" w:themeColor="text1"/>
          <w:sz w:val="24"/>
          <w:szCs w:val="28"/>
        </w:rPr>
      </w:pPr>
      <w:r>
        <w:rPr>
          <w:rFonts w:hAnsi="黑体" w:eastAsia="黑体"/>
          <w:color w:val="000000" w:themeColor="text1"/>
          <w:sz w:val="24"/>
          <w:szCs w:val="28"/>
        </w:rPr>
        <w:t>第四部分附件</w:t>
      </w:r>
      <w:r>
        <w:rPr>
          <w:rFonts w:eastAsia="仿宋"/>
          <w:color w:val="000000" w:themeColor="text1"/>
          <w:sz w:val="24"/>
          <w:szCs w:val="28"/>
        </w:rPr>
        <w:t>………………………………………………………………………. 1</w:t>
      </w:r>
      <w:r>
        <w:rPr>
          <w:rFonts w:hint="eastAsia" w:eastAsia="仿宋"/>
          <w:color w:val="000000" w:themeColor="text1"/>
          <w:sz w:val="24"/>
          <w:szCs w:val="28"/>
        </w:rPr>
        <w:t>4</w:t>
      </w:r>
    </w:p>
    <w:p>
      <w:pPr>
        <w:adjustRightInd w:val="0"/>
        <w:snapToGrid w:val="0"/>
        <w:spacing w:line="440" w:lineRule="exact"/>
        <w:jc w:val="distribute"/>
        <w:rPr>
          <w:rFonts w:eastAsia="黑体"/>
          <w:color w:val="000000" w:themeColor="text1"/>
          <w:sz w:val="24"/>
          <w:szCs w:val="28"/>
        </w:rPr>
      </w:pPr>
      <w:r>
        <w:rPr>
          <w:rFonts w:eastAsia="黑体"/>
          <w:color w:val="000000" w:themeColor="text1"/>
          <w:sz w:val="24"/>
          <w:szCs w:val="28"/>
        </w:rPr>
        <w:t>第五部分附表</w:t>
      </w:r>
      <w:r>
        <w:rPr>
          <w:rFonts w:eastAsia="仿宋"/>
          <w:color w:val="000000" w:themeColor="text1"/>
          <w:sz w:val="24"/>
          <w:szCs w:val="28"/>
        </w:rPr>
        <w:t>………………………………………………………………………. 1</w:t>
      </w:r>
      <w:r>
        <w:rPr>
          <w:rFonts w:hint="eastAsia" w:eastAsia="仿宋"/>
          <w:color w:val="000000" w:themeColor="text1"/>
          <w:sz w:val="24"/>
          <w:szCs w:val="28"/>
        </w:rPr>
        <w:t>4</w:t>
      </w:r>
    </w:p>
    <w:p>
      <w:pPr>
        <w:adjustRightInd w:val="0"/>
        <w:snapToGrid w:val="0"/>
        <w:spacing w:line="440" w:lineRule="exact"/>
        <w:jc w:val="distribute"/>
        <w:rPr>
          <w:rFonts w:eastAsiaTheme="minorEastAsia"/>
          <w:sz w:val="24"/>
        </w:rPr>
      </w:pPr>
      <w:r>
        <w:rPr>
          <w:rFonts w:hAnsiTheme="minorEastAsia" w:eastAsiaTheme="minorEastAsia"/>
          <w:sz w:val="24"/>
        </w:rPr>
        <w:t>一、收入支出决算总表</w:t>
      </w:r>
      <w:r>
        <w:rPr>
          <w:rFonts w:eastAsia="仿宋"/>
          <w:color w:val="000000" w:themeColor="text1"/>
          <w:sz w:val="24"/>
          <w:szCs w:val="28"/>
        </w:rPr>
        <w:t>……………………………………………………………. 1</w:t>
      </w:r>
      <w:r>
        <w:rPr>
          <w:rFonts w:hint="eastAsia" w:eastAsiaTheme="minorEastAsia"/>
          <w:sz w:val="24"/>
        </w:rPr>
        <w:t>4</w:t>
      </w:r>
    </w:p>
    <w:p>
      <w:pPr>
        <w:adjustRightInd w:val="0"/>
        <w:snapToGrid w:val="0"/>
        <w:spacing w:line="440" w:lineRule="exact"/>
        <w:jc w:val="distribute"/>
        <w:rPr>
          <w:rFonts w:eastAsiaTheme="minorEastAsia"/>
          <w:color w:val="000000" w:themeColor="text1"/>
          <w:sz w:val="24"/>
          <w:szCs w:val="28"/>
        </w:rPr>
      </w:pPr>
      <w:r>
        <w:rPr>
          <w:rFonts w:hAnsiTheme="minorEastAsia" w:eastAsiaTheme="minorEastAsia"/>
          <w:sz w:val="24"/>
          <w:szCs w:val="28"/>
        </w:rPr>
        <w:t>二、收入决算表</w:t>
      </w:r>
      <w:r>
        <w:rPr>
          <w:rFonts w:eastAsia="仿宋"/>
          <w:color w:val="000000" w:themeColor="text1"/>
          <w:sz w:val="24"/>
          <w:szCs w:val="28"/>
        </w:rPr>
        <w:t>…………………………………………………………………….</w:t>
      </w:r>
      <w:r>
        <w:rPr>
          <w:rFonts w:eastAsiaTheme="minorEastAsia"/>
          <w:sz w:val="24"/>
          <w:szCs w:val="28"/>
        </w:rPr>
        <w:t xml:space="preserve"> 1</w:t>
      </w:r>
      <w:r>
        <w:rPr>
          <w:rFonts w:hint="eastAsia" w:eastAsiaTheme="minorEastAsia"/>
          <w:sz w:val="24"/>
          <w:szCs w:val="28"/>
        </w:rPr>
        <w:t>4</w:t>
      </w:r>
    </w:p>
    <w:p>
      <w:pPr>
        <w:adjustRightInd w:val="0"/>
        <w:snapToGrid w:val="0"/>
        <w:spacing w:line="440" w:lineRule="exact"/>
        <w:jc w:val="distribute"/>
        <w:rPr>
          <w:rFonts w:eastAsia="黑体"/>
          <w:color w:val="000000" w:themeColor="text1"/>
          <w:sz w:val="24"/>
          <w:szCs w:val="28"/>
        </w:rPr>
      </w:pPr>
      <w:r>
        <w:rPr>
          <w:rFonts w:hAnsiTheme="minorEastAsia" w:eastAsiaTheme="minorEastAsia"/>
          <w:sz w:val="24"/>
          <w:szCs w:val="28"/>
        </w:rPr>
        <w:t>三、支出决算表</w:t>
      </w:r>
      <w:r>
        <w:rPr>
          <w:rFonts w:eastAsia="仿宋"/>
          <w:color w:val="000000" w:themeColor="text1"/>
          <w:sz w:val="24"/>
          <w:szCs w:val="28"/>
        </w:rPr>
        <w:t>…………………………………………………………………….</w:t>
      </w:r>
      <w:r>
        <w:rPr>
          <w:rFonts w:eastAsiaTheme="minorEastAsia"/>
          <w:sz w:val="24"/>
          <w:szCs w:val="28"/>
        </w:rPr>
        <w:t xml:space="preserve"> 1</w:t>
      </w:r>
      <w:r>
        <w:rPr>
          <w:rFonts w:hint="eastAsia" w:eastAsiaTheme="minorEastAsia"/>
          <w:sz w:val="24"/>
          <w:szCs w:val="28"/>
        </w:rPr>
        <w:t>4</w:t>
      </w:r>
    </w:p>
    <w:p>
      <w:pPr>
        <w:adjustRightInd w:val="0"/>
        <w:snapToGrid w:val="0"/>
        <w:spacing w:line="440" w:lineRule="exact"/>
        <w:jc w:val="distribute"/>
        <w:rPr>
          <w:sz w:val="24"/>
        </w:rPr>
      </w:pPr>
      <w:r>
        <w:rPr>
          <w:sz w:val="24"/>
        </w:rPr>
        <w:t>四、财政拨款收入支出决算总表</w:t>
      </w:r>
      <w:r>
        <w:rPr>
          <w:rFonts w:eastAsia="仿宋"/>
          <w:color w:val="000000" w:themeColor="text1"/>
          <w:sz w:val="24"/>
        </w:rPr>
        <w:t>…………………………………………………</w:t>
      </w:r>
      <w:r>
        <w:rPr>
          <w:color w:val="000000" w:themeColor="text1"/>
          <w:sz w:val="24"/>
        </w:rPr>
        <w:t>.</w:t>
      </w:r>
      <w:r>
        <w:rPr>
          <w:rFonts w:eastAsiaTheme="minorEastAsia"/>
          <w:sz w:val="24"/>
        </w:rPr>
        <w:t xml:space="preserve"> 1</w:t>
      </w:r>
      <w:r>
        <w:rPr>
          <w:rFonts w:hint="eastAsia" w:eastAsiaTheme="minorEastAsia"/>
          <w:sz w:val="24"/>
        </w:rPr>
        <w:t>4</w:t>
      </w:r>
    </w:p>
    <w:p>
      <w:pPr>
        <w:adjustRightInd w:val="0"/>
        <w:snapToGrid w:val="0"/>
        <w:spacing w:line="440" w:lineRule="exact"/>
        <w:jc w:val="distribute"/>
        <w:rPr>
          <w:sz w:val="24"/>
        </w:rPr>
      </w:pPr>
      <w:r>
        <w:rPr>
          <w:sz w:val="24"/>
        </w:rPr>
        <w:t>五、财政拨款支出决算明细表</w:t>
      </w:r>
      <w:r>
        <w:rPr>
          <w:rFonts w:eastAsia="仿宋"/>
          <w:color w:val="000000" w:themeColor="text1"/>
          <w:sz w:val="24"/>
        </w:rPr>
        <w:t>……………………………………………………</w:t>
      </w:r>
      <w:r>
        <w:rPr>
          <w:color w:val="000000" w:themeColor="text1"/>
          <w:sz w:val="24"/>
        </w:rPr>
        <w:t>.</w:t>
      </w:r>
      <w:r>
        <w:rPr>
          <w:rFonts w:eastAsiaTheme="minorEastAsia"/>
          <w:sz w:val="24"/>
        </w:rPr>
        <w:t xml:space="preserve"> 1</w:t>
      </w:r>
      <w:r>
        <w:rPr>
          <w:rFonts w:hint="eastAsia" w:eastAsiaTheme="minorEastAsia"/>
          <w:sz w:val="24"/>
        </w:rPr>
        <w:t>4</w:t>
      </w:r>
    </w:p>
    <w:p>
      <w:pPr>
        <w:adjustRightInd w:val="0"/>
        <w:snapToGrid w:val="0"/>
        <w:spacing w:line="440" w:lineRule="exact"/>
        <w:jc w:val="distribute"/>
        <w:rPr>
          <w:color w:val="000000" w:themeColor="text1"/>
          <w:sz w:val="24"/>
        </w:rPr>
      </w:pPr>
      <w:r>
        <w:rPr>
          <w:sz w:val="24"/>
        </w:rPr>
        <w:t>六、一般公共预算财政拨款支出决算表</w:t>
      </w:r>
      <w:r>
        <w:rPr>
          <w:rFonts w:eastAsia="仿宋"/>
          <w:color w:val="000000" w:themeColor="text1"/>
          <w:sz w:val="24"/>
        </w:rPr>
        <w:t>…………………………………………</w:t>
      </w:r>
      <w:r>
        <w:rPr>
          <w:color w:val="000000" w:themeColor="text1"/>
          <w:sz w:val="24"/>
        </w:rPr>
        <w:t>.</w:t>
      </w:r>
      <w:r>
        <w:rPr>
          <w:rFonts w:eastAsiaTheme="minorEastAsia"/>
          <w:sz w:val="24"/>
        </w:rPr>
        <w:t xml:space="preserve"> 1</w:t>
      </w:r>
      <w:r>
        <w:rPr>
          <w:rFonts w:hint="eastAsia" w:eastAsiaTheme="minorEastAsia"/>
          <w:sz w:val="24"/>
        </w:rPr>
        <w:t>4</w:t>
      </w:r>
    </w:p>
    <w:p>
      <w:pPr>
        <w:adjustRightInd w:val="0"/>
        <w:snapToGrid w:val="0"/>
        <w:spacing w:line="440" w:lineRule="exact"/>
        <w:jc w:val="distribute"/>
        <w:rPr>
          <w:sz w:val="24"/>
        </w:rPr>
      </w:pPr>
      <w:r>
        <w:rPr>
          <w:sz w:val="24"/>
        </w:rPr>
        <w:t>七、一般公共预算财政拨款支出决算明细表</w:t>
      </w:r>
      <w:r>
        <w:rPr>
          <w:rFonts w:eastAsia="仿宋"/>
          <w:color w:val="000000" w:themeColor="text1"/>
          <w:sz w:val="24"/>
        </w:rPr>
        <w:t>……………………………………</w:t>
      </w:r>
      <w:r>
        <w:rPr>
          <w:color w:val="000000" w:themeColor="text1"/>
          <w:sz w:val="24"/>
        </w:rPr>
        <w:t>.</w:t>
      </w:r>
      <w:r>
        <w:rPr>
          <w:rFonts w:eastAsiaTheme="minorEastAsia"/>
          <w:sz w:val="24"/>
        </w:rPr>
        <w:t xml:space="preserve"> 1</w:t>
      </w:r>
      <w:r>
        <w:rPr>
          <w:rFonts w:hint="eastAsia" w:eastAsiaTheme="minorEastAsia"/>
          <w:sz w:val="24"/>
        </w:rPr>
        <w:t>4</w:t>
      </w:r>
    </w:p>
    <w:p>
      <w:pPr>
        <w:adjustRightInd w:val="0"/>
        <w:snapToGrid w:val="0"/>
        <w:spacing w:line="440" w:lineRule="exact"/>
        <w:jc w:val="distribute"/>
        <w:rPr>
          <w:sz w:val="24"/>
        </w:rPr>
      </w:pPr>
      <w:r>
        <w:rPr>
          <w:sz w:val="24"/>
        </w:rPr>
        <w:t>八、一般公共预算财政拨款基本支出决算表</w:t>
      </w:r>
      <w:r>
        <w:rPr>
          <w:rFonts w:eastAsia="仿宋"/>
          <w:color w:val="000000" w:themeColor="text1"/>
          <w:sz w:val="24"/>
        </w:rPr>
        <w:t>……………………………………</w:t>
      </w:r>
      <w:r>
        <w:rPr>
          <w:color w:val="000000" w:themeColor="text1"/>
          <w:sz w:val="24"/>
        </w:rPr>
        <w:t>.</w:t>
      </w:r>
      <w:r>
        <w:rPr>
          <w:rFonts w:eastAsiaTheme="minorEastAsia"/>
          <w:sz w:val="24"/>
        </w:rPr>
        <w:t xml:space="preserve"> 1</w:t>
      </w:r>
      <w:r>
        <w:rPr>
          <w:rFonts w:hint="eastAsia" w:eastAsiaTheme="minorEastAsia"/>
          <w:sz w:val="24"/>
        </w:rPr>
        <w:t>4</w:t>
      </w:r>
    </w:p>
    <w:p>
      <w:pPr>
        <w:adjustRightInd w:val="0"/>
        <w:snapToGrid w:val="0"/>
        <w:spacing w:line="440" w:lineRule="exact"/>
        <w:jc w:val="distribute"/>
        <w:rPr>
          <w:sz w:val="24"/>
        </w:rPr>
      </w:pPr>
      <w:r>
        <w:rPr>
          <w:sz w:val="24"/>
        </w:rPr>
        <w:t>九、一般公共预算财政拨款项目支出决算表</w:t>
      </w:r>
      <w:r>
        <w:rPr>
          <w:rFonts w:eastAsia="仿宋"/>
          <w:color w:val="000000" w:themeColor="text1"/>
          <w:sz w:val="24"/>
        </w:rPr>
        <w:t>……………………………………</w:t>
      </w:r>
      <w:r>
        <w:rPr>
          <w:color w:val="000000" w:themeColor="text1"/>
          <w:sz w:val="24"/>
        </w:rPr>
        <w:t>.</w:t>
      </w:r>
      <w:r>
        <w:rPr>
          <w:rFonts w:eastAsiaTheme="minorEastAsia"/>
          <w:sz w:val="24"/>
        </w:rPr>
        <w:t xml:space="preserve"> 1</w:t>
      </w:r>
      <w:r>
        <w:rPr>
          <w:rFonts w:hint="eastAsia" w:eastAsiaTheme="minorEastAsia"/>
          <w:sz w:val="24"/>
        </w:rPr>
        <w:t>4</w:t>
      </w:r>
    </w:p>
    <w:p>
      <w:pPr>
        <w:adjustRightInd w:val="0"/>
        <w:snapToGrid w:val="0"/>
        <w:spacing w:line="440" w:lineRule="exact"/>
        <w:jc w:val="distribute"/>
        <w:rPr>
          <w:sz w:val="24"/>
        </w:rPr>
      </w:pPr>
      <w:r>
        <w:rPr>
          <w:sz w:val="24"/>
        </w:rPr>
        <w:t>十、一般公共预算财政拨款“三公”经费支出决算表</w:t>
      </w:r>
      <w:r>
        <w:rPr>
          <w:rFonts w:eastAsia="仿宋"/>
          <w:color w:val="000000" w:themeColor="text1"/>
          <w:sz w:val="24"/>
        </w:rPr>
        <w:t>……………………………</w:t>
      </w:r>
      <w:r>
        <w:rPr>
          <w:color w:val="000000" w:themeColor="text1"/>
          <w:sz w:val="24"/>
        </w:rPr>
        <w:t>.</w:t>
      </w:r>
      <w:r>
        <w:rPr>
          <w:rFonts w:eastAsiaTheme="minorEastAsia"/>
          <w:sz w:val="24"/>
        </w:rPr>
        <w:t xml:space="preserve"> 1</w:t>
      </w:r>
      <w:r>
        <w:rPr>
          <w:rFonts w:hint="eastAsia" w:eastAsiaTheme="minorEastAsia"/>
          <w:sz w:val="24"/>
        </w:rPr>
        <w:t>4</w:t>
      </w:r>
    </w:p>
    <w:p>
      <w:pPr>
        <w:adjustRightInd w:val="0"/>
        <w:snapToGrid w:val="0"/>
        <w:spacing w:line="440" w:lineRule="exact"/>
        <w:jc w:val="distribute"/>
        <w:rPr>
          <w:sz w:val="24"/>
        </w:rPr>
      </w:pPr>
      <w:r>
        <w:rPr>
          <w:sz w:val="24"/>
        </w:rPr>
        <w:t>十一、政府性基金预算财政拨款收入支出决算表</w:t>
      </w:r>
      <w:r>
        <w:rPr>
          <w:rFonts w:eastAsia="仿宋"/>
          <w:color w:val="000000" w:themeColor="text1"/>
          <w:sz w:val="24"/>
        </w:rPr>
        <w:t>……………………………</w:t>
      </w:r>
      <w:r>
        <w:rPr>
          <w:color w:val="000000" w:themeColor="text1"/>
          <w:sz w:val="24"/>
        </w:rPr>
        <w:t>.</w:t>
      </w:r>
      <w:r>
        <w:rPr>
          <w:rFonts w:eastAsiaTheme="minorEastAsia"/>
          <w:sz w:val="24"/>
        </w:rPr>
        <w:t xml:space="preserve"> 1</w:t>
      </w:r>
      <w:r>
        <w:rPr>
          <w:rFonts w:hint="eastAsia" w:eastAsiaTheme="minorEastAsia"/>
          <w:sz w:val="24"/>
        </w:rPr>
        <w:t>4</w:t>
      </w:r>
    </w:p>
    <w:p>
      <w:pPr>
        <w:adjustRightInd w:val="0"/>
        <w:snapToGrid w:val="0"/>
        <w:spacing w:line="440" w:lineRule="exact"/>
        <w:jc w:val="distribute"/>
        <w:rPr>
          <w:sz w:val="24"/>
        </w:rPr>
      </w:pPr>
      <w:r>
        <w:rPr>
          <w:sz w:val="24"/>
        </w:rPr>
        <w:t>十二、政府性基金预算财政拨款“三公”经费支出决算表</w:t>
      </w:r>
      <w:r>
        <w:rPr>
          <w:rFonts w:eastAsia="仿宋"/>
          <w:color w:val="000000" w:themeColor="text1"/>
          <w:sz w:val="24"/>
        </w:rPr>
        <w:t>………………</w:t>
      </w:r>
      <w:r>
        <w:rPr>
          <w:rFonts w:hint="eastAsia" w:eastAsia="仿宋"/>
          <w:color w:val="000000" w:themeColor="text1"/>
          <w:sz w:val="24"/>
        </w:rPr>
        <w:t>.</w:t>
      </w:r>
      <w:r>
        <w:rPr>
          <w:rFonts w:eastAsia="仿宋"/>
          <w:color w:val="000000" w:themeColor="text1"/>
          <w:sz w:val="24"/>
        </w:rPr>
        <w:t>…</w:t>
      </w:r>
      <w:r>
        <w:rPr>
          <w:color w:val="000000" w:themeColor="text1"/>
          <w:sz w:val="24"/>
        </w:rPr>
        <w:t>…</w:t>
      </w:r>
      <w:r>
        <w:rPr>
          <w:rFonts w:hint="eastAsia"/>
          <w:color w:val="000000" w:themeColor="text1"/>
          <w:sz w:val="24"/>
        </w:rPr>
        <w:t>.</w:t>
      </w:r>
      <w:r>
        <w:rPr>
          <w:rFonts w:eastAsiaTheme="minorEastAsia"/>
          <w:sz w:val="24"/>
        </w:rPr>
        <w:t xml:space="preserve"> 1</w:t>
      </w:r>
      <w:r>
        <w:rPr>
          <w:rFonts w:hint="eastAsia" w:eastAsiaTheme="minorEastAsia"/>
          <w:sz w:val="24"/>
        </w:rPr>
        <w:t>4</w:t>
      </w:r>
    </w:p>
    <w:p>
      <w:pPr>
        <w:adjustRightInd w:val="0"/>
        <w:snapToGrid w:val="0"/>
        <w:spacing w:line="440" w:lineRule="exact"/>
        <w:jc w:val="distribute"/>
        <w:rPr>
          <w:sz w:val="24"/>
        </w:rPr>
      </w:pPr>
      <w:r>
        <w:rPr>
          <w:sz w:val="24"/>
        </w:rPr>
        <w:t>十三、国有资本经营预算财政拨款收入支出决算表</w:t>
      </w:r>
      <w:r>
        <w:rPr>
          <w:rFonts w:eastAsia="仿宋"/>
          <w:color w:val="000000" w:themeColor="text1"/>
          <w:sz w:val="24"/>
        </w:rPr>
        <w:t>…………………………</w:t>
      </w:r>
      <w:r>
        <w:rPr>
          <w:color w:val="000000" w:themeColor="text1"/>
          <w:sz w:val="24"/>
        </w:rPr>
        <w:t>.</w:t>
      </w:r>
      <w:r>
        <w:rPr>
          <w:rFonts w:eastAsiaTheme="minorEastAsia"/>
          <w:sz w:val="24"/>
        </w:rPr>
        <w:t xml:space="preserve"> 1</w:t>
      </w:r>
      <w:r>
        <w:rPr>
          <w:rFonts w:hint="eastAsia" w:eastAsiaTheme="minorEastAsia"/>
          <w:sz w:val="24"/>
        </w:rPr>
        <w:t>4</w:t>
      </w:r>
    </w:p>
    <w:p>
      <w:pPr>
        <w:adjustRightInd w:val="0"/>
        <w:snapToGrid w:val="0"/>
        <w:spacing w:line="440" w:lineRule="exact"/>
        <w:jc w:val="distribute"/>
        <w:rPr>
          <w:sz w:val="24"/>
        </w:rPr>
      </w:pPr>
      <w:r>
        <w:rPr>
          <w:sz w:val="24"/>
        </w:rPr>
        <w:t>十四、国有资本经营预算财政拨款支出决算表</w:t>
      </w:r>
      <w:r>
        <w:rPr>
          <w:rFonts w:eastAsia="仿宋"/>
          <w:color w:val="000000" w:themeColor="text1"/>
          <w:sz w:val="24"/>
        </w:rPr>
        <w:t>………………………………</w:t>
      </w:r>
      <w:r>
        <w:rPr>
          <w:color w:val="000000" w:themeColor="text1"/>
          <w:sz w:val="24"/>
        </w:rPr>
        <w:t>.</w:t>
      </w:r>
      <w:r>
        <w:rPr>
          <w:rFonts w:eastAsiaTheme="minorEastAsia"/>
          <w:sz w:val="24"/>
        </w:rPr>
        <w:t xml:space="preserve"> 1</w:t>
      </w:r>
      <w:r>
        <w:rPr>
          <w:rFonts w:hint="eastAsia" w:eastAsiaTheme="minorEastAsia"/>
          <w:sz w:val="24"/>
        </w:rPr>
        <w:t>4</w:t>
      </w:r>
    </w:p>
    <w:p>
      <w:pPr>
        <w:pStyle w:val="3"/>
        <w:jc w:val="center"/>
        <w:rPr>
          <w:rFonts w:ascii="黑体" w:hAnsi="黑体" w:eastAsia="黑体"/>
          <w:b w:val="0"/>
        </w:rPr>
        <w:sectPr>
          <w:footerReference r:id="rId9" w:type="default"/>
          <w:pgSz w:w="11906" w:h="16838"/>
          <w:pgMar w:top="1440" w:right="1800" w:bottom="1440" w:left="1800" w:header="851" w:footer="992" w:gutter="0"/>
          <w:pgNumType w:fmt="numberInDash" w:start="1"/>
          <w:cols w:space="425" w:num="1"/>
          <w:docGrid w:type="lines" w:linePitch="312" w:charSpace="0"/>
        </w:sectPr>
      </w:pPr>
    </w:p>
    <w:p>
      <w:pPr>
        <w:pStyle w:val="3"/>
        <w:jc w:val="center"/>
        <w:rPr>
          <w:rStyle w:val="24"/>
          <w:rFonts w:ascii="黑体" w:hAnsi="黑体" w:eastAsia="黑体"/>
          <w:b/>
          <w:bCs w:val="0"/>
        </w:rPr>
      </w:pPr>
      <w:r>
        <w:rPr>
          <w:rFonts w:hint="eastAsia" w:ascii="黑体" w:hAnsi="黑体" w:eastAsia="黑体"/>
          <w:b w:val="0"/>
        </w:rPr>
        <w:t>第一部分 单位</w:t>
      </w:r>
      <w:r>
        <w:rPr>
          <w:rStyle w:val="24"/>
          <w:rFonts w:hint="eastAsia" w:ascii="黑体" w:hAnsi="黑体" w:eastAsia="黑体"/>
          <w:b w:val="0"/>
          <w:bCs w:val="0"/>
        </w:rPr>
        <w:t>概况</w:t>
      </w:r>
      <w:bookmarkEnd w:id="12"/>
      <w:bookmarkEnd w:id="13"/>
    </w:p>
    <w:p>
      <w:pPr>
        <w:pStyle w:val="4"/>
        <w:rPr>
          <w:color w:val="000000" w:themeColor="text1"/>
        </w:rPr>
      </w:pPr>
      <w:bookmarkStart w:id="14" w:name="_Toc15377197"/>
      <w:bookmarkStart w:id="15" w:name="_Toc15396600"/>
      <w:r>
        <w:rPr>
          <w:rStyle w:val="25"/>
          <w:rFonts w:hint="eastAsia" w:ascii="黑体" w:hAnsi="黑体" w:eastAsia="黑体"/>
          <w:b w:val="0"/>
          <w:bCs w:val="0"/>
          <w:color w:val="000000" w:themeColor="text1"/>
        </w:rPr>
        <w:t xml:space="preserve">    一、职能简介</w:t>
      </w:r>
    </w:p>
    <w:p>
      <w:pPr>
        <w:snapToGri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一是负责驻地省市党委、政府及有关部门联系，宣传介绍四川政治、经济情况，促进省际间相互了解和友好往来。二是组织、开展省际间经济合作和招商引资工作。三是加强调查研究，做好省际间的信息收集、整理及沟通工作，为省委、省政府决策提供参考依据。四是负责联系区域四川企、事业单位的协调服务工作。五是负责省领导赴联系地区的考察接待工作；为省级各部门、各市（州）在当地开展业务活动提供咨询服务和工作方便。六是指导四川驻联系地区单位党建、廉政及精神文明建设工作。七是承办省委、省政府和主管部门交办的其他事宜。</w:t>
      </w:r>
    </w:p>
    <w:p>
      <w:pPr>
        <w:pStyle w:val="4"/>
        <w:ind w:firstLine="640" w:firstLineChars="200"/>
        <w:rPr>
          <w:rStyle w:val="25"/>
          <w:rFonts w:ascii="黑体" w:hAnsi="黑体" w:eastAsia="黑体"/>
          <w:b w:val="0"/>
          <w:bCs w:val="0"/>
          <w:color w:val="000000" w:themeColor="text1"/>
        </w:rPr>
      </w:pPr>
      <w:r>
        <w:rPr>
          <w:rStyle w:val="25"/>
          <w:rFonts w:hint="eastAsia" w:ascii="黑体" w:hAnsi="黑体" w:eastAsia="黑体"/>
          <w:b w:val="0"/>
          <w:bCs w:val="0"/>
          <w:color w:val="000000" w:themeColor="text1"/>
        </w:rPr>
        <w:t>二、2020年重点工作</w:t>
      </w:r>
      <w:bookmarkEnd w:id="14"/>
      <w:bookmarkEnd w:id="15"/>
      <w:r>
        <w:rPr>
          <w:rStyle w:val="25"/>
          <w:rFonts w:hint="eastAsia" w:ascii="黑体" w:hAnsi="黑体" w:eastAsia="黑体"/>
          <w:b w:val="0"/>
          <w:bCs w:val="0"/>
          <w:color w:val="000000" w:themeColor="text1"/>
        </w:rPr>
        <w:t>完成情况</w:t>
      </w:r>
    </w:p>
    <w:p>
      <w:pPr>
        <w:snapToGrid w:val="0"/>
        <w:spacing w:line="560" w:lineRule="exact"/>
        <w:ind w:firstLine="643" w:firstLineChars="200"/>
        <w:outlineLvl w:val="0"/>
        <w:rPr>
          <w:rFonts w:ascii="仿宋" w:hAnsi="仿宋" w:eastAsia="仿宋" w:cs="仿宋"/>
          <w:sz w:val="32"/>
          <w:szCs w:val="32"/>
        </w:rPr>
      </w:pPr>
      <w:r>
        <w:rPr>
          <w:rFonts w:hint="eastAsia" w:ascii="仿宋" w:hAnsi="仿宋" w:eastAsia="仿宋" w:cs="仿宋"/>
          <w:b/>
          <w:bCs/>
          <w:sz w:val="32"/>
          <w:szCs w:val="32"/>
        </w:rPr>
        <w:t>（一）引进项目：</w:t>
      </w:r>
      <w:r>
        <w:rPr>
          <w:rFonts w:hint="eastAsia" w:ascii="仿宋" w:hAnsi="仿宋" w:eastAsia="仿宋" w:cs="仿宋"/>
          <w:sz w:val="32"/>
          <w:szCs w:val="32"/>
        </w:rPr>
        <w:t>合同引资额1513.86亿元，完成年度目标任务的473.08%，比2019年增长8.99%；实际到位资金额184.35亿元，完成年度目标任务的361.47%，比2019年减少28.82%；直接促进50亿元的重大项目5个，完成年度目标任务的500%；直接促进30亿元的重大项目11个，完成年度目标任务的366.67%。直接促进10亿元的大项目32个，完成年度目标任务的640%。</w:t>
      </w:r>
    </w:p>
    <w:p>
      <w:pPr>
        <w:snapToGrid w:val="0"/>
        <w:spacing w:line="560" w:lineRule="exact"/>
        <w:ind w:firstLine="643" w:firstLineChars="200"/>
        <w:outlineLvl w:val="0"/>
        <w:rPr>
          <w:rFonts w:ascii="仿宋" w:hAnsi="仿宋" w:eastAsia="仿宋" w:cs="仿宋"/>
          <w:sz w:val="32"/>
          <w:szCs w:val="32"/>
        </w:rPr>
      </w:pPr>
      <w:r>
        <w:rPr>
          <w:rFonts w:hint="eastAsia" w:ascii="仿宋" w:hAnsi="仿宋" w:eastAsia="仿宋" w:cs="仿宋"/>
          <w:b/>
          <w:bCs/>
          <w:sz w:val="32"/>
          <w:szCs w:val="32"/>
        </w:rPr>
        <w:t>（二）重大平台活动：</w:t>
      </w:r>
      <w:r>
        <w:rPr>
          <w:rFonts w:hint="eastAsia" w:ascii="仿宋" w:hAnsi="仿宋" w:eastAsia="仿宋" w:cs="仿宋"/>
          <w:sz w:val="32"/>
          <w:szCs w:val="32"/>
        </w:rPr>
        <w:t>参加“中外知名企业四川行活动”，邀请500强及知名企业28家出席，完成目标任务的133%;积极组织企业参加省投资促进局召开的各种专题投资促进活动，每次都保质保量完成了企业的邀请任务；在联系区域内搭建专题招商平台25次，完成目标任务的125%；协助市州搭建网络招商平台10次，完成目标任务的100%。</w:t>
      </w:r>
    </w:p>
    <w:p>
      <w:pPr>
        <w:snapToGrid w:val="0"/>
        <w:spacing w:line="560" w:lineRule="exact"/>
        <w:ind w:firstLine="643" w:firstLineChars="200"/>
        <w:outlineLvl w:val="0"/>
        <w:rPr>
          <w:rFonts w:ascii="仿宋" w:hAnsi="仿宋" w:eastAsia="仿宋" w:cs="仿宋"/>
          <w:sz w:val="32"/>
          <w:szCs w:val="32"/>
        </w:rPr>
      </w:pPr>
      <w:r>
        <w:rPr>
          <w:rFonts w:hint="eastAsia" w:ascii="仿宋" w:hAnsi="仿宋" w:eastAsia="仿宋" w:cs="仿宋"/>
          <w:b/>
          <w:bCs/>
          <w:sz w:val="32"/>
          <w:szCs w:val="32"/>
        </w:rPr>
        <w:t>（三）区域合作：</w:t>
      </w:r>
      <w:r>
        <w:rPr>
          <w:rFonts w:hint="eastAsia" w:ascii="仿宋" w:hAnsi="仿宋" w:eastAsia="仿宋" w:cs="仿宋"/>
          <w:sz w:val="32"/>
          <w:szCs w:val="32"/>
        </w:rPr>
        <w:t>2020年，抢抓成渝地区双城经济圈机遇，推动深化川渝合作，帮助我省相关部门和市州与重庆市对口部门和区县签订战略合作协议，在产业协同发展、物流互通、现代农业、大数据等多个领域开展深度合作，搭建经贸合作交流平台46次，完成年度目标任务的460%。</w:t>
      </w:r>
    </w:p>
    <w:p>
      <w:pPr>
        <w:snapToGrid w:val="0"/>
        <w:spacing w:line="560" w:lineRule="exact"/>
        <w:ind w:firstLine="643" w:firstLineChars="200"/>
        <w:outlineLvl w:val="0"/>
        <w:rPr>
          <w:rFonts w:ascii="仿宋" w:hAnsi="仿宋" w:eastAsia="仿宋" w:cs="仿宋"/>
          <w:sz w:val="32"/>
          <w:szCs w:val="32"/>
        </w:rPr>
      </w:pPr>
      <w:r>
        <w:rPr>
          <w:rFonts w:hint="eastAsia" w:ascii="仿宋" w:hAnsi="仿宋" w:eastAsia="仿宋" w:cs="仿宋"/>
          <w:b/>
          <w:bCs/>
          <w:sz w:val="32"/>
          <w:szCs w:val="32"/>
        </w:rPr>
        <w:t>（四）川籍农民工服务：</w:t>
      </w:r>
      <w:r>
        <w:rPr>
          <w:rFonts w:hint="eastAsia" w:ascii="仿宋" w:hAnsi="仿宋" w:eastAsia="仿宋" w:cs="仿宋"/>
          <w:sz w:val="32"/>
          <w:szCs w:val="32"/>
        </w:rPr>
        <w:t>积极落实《加强农民工服务保障十六条措施》，维护川籍农民工合法权益。接待川籍民工来信来访220人次，受理率100%，妥善处理涉及川籍民工劳务、工伤、交通事故等纠纷20余件次，帮助农民工追回被拖欠工资18万元。全年慰问川籍贫困流动党员和川籍农民工300人次，驻地全年未发生川籍民工不稳定事件。</w:t>
      </w:r>
    </w:p>
    <w:p>
      <w:pPr>
        <w:ind w:firstLine="643" w:firstLineChars="200"/>
      </w:pPr>
      <w:r>
        <w:rPr>
          <w:rFonts w:hint="eastAsia" w:ascii="仿宋" w:hAnsi="仿宋" w:eastAsia="仿宋" w:cs="仿宋"/>
          <w:b/>
          <w:bCs/>
          <w:sz w:val="32"/>
          <w:szCs w:val="32"/>
        </w:rPr>
        <w:t>（五）信息工作：</w:t>
      </w:r>
      <w:r>
        <w:rPr>
          <w:rFonts w:hint="eastAsia" w:ascii="仿宋" w:hAnsi="仿宋" w:eastAsia="仿宋" w:cs="仿宋"/>
          <w:sz w:val="32"/>
          <w:szCs w:val="32"/>
        </w:rPr>
        <w:t xml:space="preserve"> 提供投资工作信息160条，完成目标任务的160%；完成驻地产业和经济社会发展调研报告4篇，完成省委办公厅信息目标任务；报送省政府办公厅信息1000余条，采用76条，完成目标任务；保质按时完成日常投资动态报送，全年准时报送《投资动态表》4期。</w:t>
      </w:r>
    </w:p>
    <w:p>
      <w:pPr>
        <w:pStyle w:val="4"/>
        <w:numPr>
          <w:ilvl w:val="0"/>
          <w:numId w:val="0"/>
        </w:numPr>
        <w:ind w:left="418" w:leftChars="199" w:firstLine="0" w:firstLineChars="0"/>
        <w:rPr>
          <w:rFonts w:hint="eastAsia" w:ascii="黑体" w:hAnsi="黑体" w:eastAsia="黑体"/>
          <w:b w:val="0"/>
          <w:color w:val="auto"/>
          <w:highlight w:val="none"/>
          <w:lang w:eastAsia="zh-CN"/>
        </w:rPr>
      </w:pPr>
      <w:r>
        <w:rPr>
          <w:rFonts w:hint="eastAsia" w:ascii="黑体" w:hAnsi="黑体" w:eastAsia="黑体"/>
          <w:b w:val="0"/>
          <w:color w:val="auto"/>
          <w:highlight w:val="none"/>
          <w:lang w:val="en-US" w:eastAsia="zh-CN"/>
        </w:rPr>
        <w:t>三、机构设置情况</w:t>
      </w:r>
    </w:p>
    <w:p>
      <w:pPr>
        <w:overflowPunct w:val="0"/>
        <w:autoSpaceDE w:val="0"/>
        <w:autoSpaceDN w:val="0"/>
        <w:adjustRightInd w:val="0"/>
        <w:spacing w:line="560" w:lineRule="exact"/>
        <w:ind w:left="105" w:leftChars="50" w:firstLine="640" w:firstLineChars="200"/>
        <w:rPr>
          <w:rFonts w:ascii="仿宋" w:hAnsi="仿宋" w:eastAsia="仿宋"/>
          <w:color w:val="000000"/>
          <w:kern w:val="0"/>
          <w:sz w:val="32"/>
          <w:szCs w:val="32"/>
        </w:rPr>
      </w:pPr>
      <w:r>
        <w:rPr>
          <w:rFonts w:hint="eastAsia" w:ascii="仿宋_GB2312" w:hAnsi="宋体" w:eastAsia="仿宋_GB2312" w:cs="仿宋"/>
          <w:color w:val="000000"/>
          <w:sz w:val="32"/>
          <w:szCs w:val="32"/>
          <w:shd w:val="clear" w:color="auto" w:fill="FFFFFF"/>
          <w:lang w:eastAsia="zh-CN"/>
        </w:rPr>
        <w:t>四川省人民政府驻重庆办事处由</w:t>
      </w:r>
      <w:r>
        <w:rPr>
          <w:rFonts w:hint="eastAsia" w:ascii="仿宋_GB2312" w:hAnsi="宋体" w:eastAsia="仿宋_GB2312" w:cs="仿宋"/>
          <w:color w:val="000000"/>
          <w:sz w:val="32"/>
          <w:szCs w:val="32"/>
          <w:shd w:val="clear" w:color="auto" w:fill="FFFFFF"/>
          <w:lang w:val="en-US" w:eastAsia="zh-CN"/>
        </w:rPr>
        <w:t>3个内设处室组成，分别是秘书处、经济合作与信息处、劳务工作处。</w:t>
      </w:r>
    </w:p>
    <w:p>
      <w:pPr>
        <w:pStyle w:val="3"/>
        <w:ind w:right="440"/>
        <w:jc w:val="center"/>
        <w:rPr>
          <w:rStyle w:val="24"/>
          <w:rFonts w:ascii="黑体" w:hAnsi="黑体" w:eastAsia="黑体"/>
          <w:b w:val="0"/>
          <w:bCs/>
        </w:rPr>
      </w:pPr>
      <w:bookmarkStart w:id="16" w:name="_Toc15377204"/>
      <w:bookmarkStart w:id="17" w:name="_Toc15396602"/>
      <w:r>
        <w:rPr>
          <w:rFonts w:hint="eastAsia" w:ascii="黑体" w:hAnsi="黑体" w:eastAsia="黑体"/>
          <w:b w:val="0"/>
        </w:rPr>
        <w:t>第二部分 2020年度单位</w:t>
      </w:r>
      <w:r>
        <w:rPr>
          <w:rStyle w:val="24"/>
          <w:rFonts w:hint="eastAsia" w:ascii="黑体" w:hAnsi="黑体" w:eastAsia="黑体"/>
          <w:b w:val="0"/>
          <w:bCs/>
        </w:rPr>
        <w:t>决算情况说明</w:t>
      </w:r>
      <w:bookmarkEnd w:id="16"/>
      <w:bookmarkEnd w:id="17"/>
    </w:p>
    <w:p/>
    <w:p>
      <w:pPr>
        <w:pStyle w:val="23"/>
        <w:numPr>
          <w:ilvl w:val="0"/>
          <w:numId w:val="1"/>
        </w:numPr>
        <w:spacing w:line="600" w:lineRule="exact"/>
        <w:ind w:firstLineChars="0"/>
        <w:outlineLvl w:val="1"/>
        <w:rPr>
          <w:rStyle w:val="25"/>
          <w:rFonts w:ascii="黑体" w:hAnsi="黑体" w:eastAsia="黑体"/>
          <w:b w:val="0"/>
        </w:rPr>
      </w:pPr>
      <w:bookmarkStart w:id="18" w:name="_Toc15377205"/>
      <w:bookmarkStart w:id="19"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sz w:val="32"/>
          <w:szCs w:val="32"/>
        </w:rPr>
        <w:t>2020年度收、支总计665.38万元。与2019年相比，收、支总计各增加221.06万元，增长49.75</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s="仿宋"/>
          <w:sz w:val="32"/>
          <w:szCs w:val="32"/>
        </w:rPr>
        <w:t>增加了办公楼维修项目。</w:t>
      </w:r>
    </w:p>
    <w:p>
      <w:pPr>
        <w:pStyle w:val="2"/>
        <w:spacing w:before="93"/>
        <w:jc w:val="center"/>
        <w:rPr>
          <w:rFonts w:ascii="仿宋" w:hAnsi="仿宋" w:eastAsia="仿宋"/>
          <w:color w:val="000000" w:themeColor="text1"/>
          <w:sz w:val="32"/>
          <w:szCs w:val="32"/>
        </w:rPr>
      </w:pPr>
      <w:r>
        <w:drawing>
          <wp:inline distT="0" distB="0" distL="114300" distR="114300">
            <wp:extent cx="4400550" cy="15240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3"/>
        <w:numPr>
          <w:ilvl w:val="0"/>
          <w:numId w:val="1"/>
        </w:numPr>
        <w:spacing w:line="600" w:lineRule="exact"/>
        <w:ind w:firstLineChars="0"/>
        <w:outlineLvl w:val="1"/>
        <w:rPr>
          <w:rStyle w:val="25"/>
          <w:rFonts w:ascii="黑体" w:hAnsi="黑体" w:eastAsia="黑体"/>
          <w:b w:val="0"/>
        </w:rPr>
      </w:pPr>
      <w:bookmarkStart w:id="20" w:name="_Toc15377206"/>
      <w:bookmarkStart w:id="21"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20年本年收入合计665.38万元，其中：一般公共预算财政拨款收入665.38万元，占100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上级补助收入0</w:t>
      </w:r>
      <w:r>
        <w:rPr>
          <w:rFonts w:hint="eastAsia" w:ascii="仿宋" w:hAnsi="仿宋" w:eastAsia="仿宋"/>
          <w:color w:val="000000"/>
          <w:sz w:val="32"/>
          <w:szCs w:val="32"/>
        </w:rPr>
        <w:t>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p>
    <w:p>
      <w:pPr>
        <w:pStyle w:val="2"/>
        <w:spacing w:before="93"/>
        <w:jc w:val="center"/>
        <w:rPr>
          <w:rFonts w:ascii="仿宋" w:hAnsi="仿宋" w:eastAsia="仿宋"/>
          <w:b/>
          <w:sz w:val="32"/>
          <w:szCs w:val="32"/>
        </w:rPr>
      </w:pPr>
      <w:r>
        <w:drawing>
          <wp:inline distT="0" distB="0" distL="114300" distR="114300">
            <wp:extent cx="4657725" cy="2190750"/>
            <wp:effectExtent l="4445" t="5080" r="5080" b="1397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3"/>
        <w:numPr>
          <w:ilvl w:val="0"/>
          <w:numId w:val="1"/>
        </w:numPr>
        <w:spacing w:line="600" w:lineRule="exact"/>
        <w:ind w:firstLineChars="0"/>
        <w:outlineLvl w:val="1"/>
        <w:rPr>
          <w:rStyle w:val="25"/>
          <w:rFonts w:ascii="黑体" w:hAnsi="黑体" w:eastAsia="黑体"/>
          <w:b w:val="0"/>
        </w:rPr>
      </w:pPr>
      <w:bookmarkStart w:id="22" w:name="_Toc15377207"/>
      <w:bookmarkStart w:id="23"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20年本年支出合计527.59万元，其中：基本支出376.87万元，占71.43</w:t>
      </w:r>
      <w:r>
        <w:rPr>
          <w:rFonts w:ascii="仿宋" w:hAnsi="仿宋" w:eastAsia="仿宋"/>
          <w:color w:val="000000"/>
          <w:sz w:val="32"/>
          <w:szCs w:val="32"/>
        </w:rPr>
        <w:t>%</w:t>
      </w:r>
      <w:r>
        <w:rPr>
          <w:rFonts w:hint="eastAsia" w:ascii="仿宋" w:hAnsi="仿宋" w:eastAsia="仿宋"/>
          <w:color w:val="000000"/>
          <w:sz w:val="32"/>
          <w:szCs w:val="32"/>
        </w:rPr>
        <w:t>；项目支出150.72万元，占28.57</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pStyle w:val="2"/>
        <w:spacing w:before="93"/>
        <w:jc w:val="center"/>
        <w:rPr>
          <w:rFonts w:ascii="仿宋" w:hAnsi="仿宋" w:eastAsia="仿宋"/>
          <w:color w:val="000000"/>
          <w:sz w:val="32"/>
          <w:szCs w:val="32"/>
          <w:shd w:val="pct10" w:color="auto" w:fill="FFFFFF"/>
        </w:rPr>
      </w:pPr>
      <w:r>
        <w:rPr>
          <w:rFonts w:hint="eastAsia" w:ascii="仿宋" w:hAnsi="仿宋" w:eastAsia="仿宋"/>
          <w:color w:val="000000"/>
          <w:sz w:val="32"/>
          <w:szCs w:val="32"/>
          <w:shd w:val="pct10" w:color="auto" w:fill="FFFFFF"/>
        </w:rPr>
        <w:drawing>
          <wp:inline distT="0" distB="0" distL="114300" distR="114300">
            <wp:extent cx="4641850" cy="1771015"/>
            <wp:effectExtent l="4445" t="4445" r="20955" b="1524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0" w:firstLineChars="200"/>
        <w:outlineLvl w:val="1"/>
        <w:rPr>
          <w:rStyle w:val="25"/>
          <w:rFonts w:ascii="黑体" w:hAnsi="黑体" w:eastAsia="黑体"/>
          <w:b w:val="0"/>
        </w:rPr>
      </w:pPr>
      <w:bookmarkStart w:id="24" w:name="_Toc15377208"/>
      <w:bookmarkStart w:id="25"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20年财政拨款收、支总计665.38万元。与</w:t>
      </w:r>
      <w:r>
        <w:rPr>
          <w:rFonts w:ascii="仿宋" w:hAnsi="仿宋" w:eastAsia="仿宋"/>
          <w:color w:val="000000"/>
          <w:sz w:val="32"/>
          <w:szCs w:val="32"/>
        </w:rPr>
        <w:t>201</w:t>
      </w:r>
      <w:r>
        <w:rPr>
          <w:rFonts w:hint="eastAsia" w:ascii="仿宋" w:hAnsi="仿宋" w:eastAsia="仿宋"/>
          <w:color w:val="000000"/>
          <w:sz w:val="32"/>
          <w:szCs w:val="32"/>
        </w:rPr>
        <w:t>9年相比，财政拨款收、支总计各增加221.06万元，增长49.75</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s="仿宋"/>
          <w:sz w:val="32"/>
          <w:szCs w:val="32"/>
        </w:rPr>
        <w:t>增加了办公楼维修项目。</w:t>
      </w:r>
    </w:p>
    <w:p>
      <w:pPr>
        <w:pStyle w:val="2"/>
        <w:spacing w:before="93"/>
        <w:jc w:val="center"/>
        <w:rPr>
          <w:rFonts w:ascii="黑体" w:hAnsi="黑体" w:eastAsia="黑体"/>
          <w:color w:val="000000"/>
          <w:sz w:val="32"/>
          <w:szCs w:val="32"/>
        </w:rPr>
      </w:pPr>
      <w:r>
        <w:drawing>
          <wp:inline distT="0" distB="0" distL="114300" distR="114300">
            <wp:extent cx="5114925" cy="2856865"/>
            <wp:effectExtent l="4445" t="4445" r="5080" b="15240"/>
            <wp:docPr id="1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Start w:id="26" w:name="_Toc15396607"/>
      <w:bookmarkStart w:id="27" w:name="_Toc15377209"/>
    </w:p>
    <w:p>
      <w:pPr>
        <w:spacing w:line="600" w:lineRule="exact"/>
        <w:ind w:firstLine="640" w:firstLineChars="200"/>
        <w:outlineLvl w:val="1"/>
        <w:rPr>
          <w:rStyle w:val="25"/>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color w:val="000000"/>
          <w:sz w:val="32"/>
          <w:szCs w:val="32"/>
        </w:rPr>
      </w:pPr>
      <w:bookmarkStart w:id="28" w:name="_Toc15377210"/>
      <w:r>
        <w:rPr>
          <w:rFonts w:hint="eastAsia" w:ascii="仿宋" w:hAnsi="仿宋" w:eastAsia="仿宋"/>
          <w:b/>
          <w:color w:val="000000"/>
          <w:sz w:val="32"/>
          <w:szCs w:val="32"/>
        </w:rPr>
        <w:t>（一）一般公共预算财政拨款支出决算总体情况</w:t>
      </w:r>
      <w:bookmarkEnd w:id="28"/>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20年一般公共预算财政拨款支出527.59万元，占本年支出合计的100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9年相比，一般公共预算财政拨款增加127.28万元，增长31.79</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s="仿宋"/>
          <w:sz w:val="32"/>
          <w:szCs w:val="32"/>
        </w:rPr>
        <w:t>增加了办公楼维修项目。</w:t>
      </w:r>
    </w:p>
    <w:p>
      <w:pPr>
        <w:pStyle w:val="2"/>
        <w:spacing w:before="93"/>
        <w:jc w:val="center"/>
        <w:rPr>
          <w:rFonts w:ascii="仿宋" w:hAnsi="仿宋" w:eastAsia="仿宋"/>
          <w:color w:val="000000"/>
          <w:sz w:val="32"/>
          <w:szCs w:val="32"/>
        </w:rPr>
      </w:pPr>
      <w:r>
        <w:drawing>
          <wp:inline distT="0" distB="0" distL="114300" distR="114300">
            <wp:extent cx="4886325" cy="2343150"/>
            <wp:effectExtent l="5080" t="4445" r="4445" b="14605"/>
            <wp:docPr id="1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600" w:lineRule="exact"/>
        <w:ind w:firstLine="643" w:firstLineChars="200"/>
        <w:outlineLvl w:val="2"/>
        <w:rPr>
          <w:rFonts w:ascii="仿宋" w:hAnsi="仿宋" w:eastAsia="仿宋"/>
          <w:b/>
          <w:color w:val="000000"/>
          <w:sz w:val="32"/>
          <w:szCs w:val="32"/>
        </w:rPr>
      </w:pPr>
      <w:bookmarkStart w:id="29" w:name="_Toc15377211"/>
      <w:r>
        <w:rPr>
          <w:rFonts w:hint="eastAsia" w:ascii="仿宋" w:hAnsi="仿宋" w:eastAsia="仿宋"/>
          <w:b/>
          <w:color w:val="000000"/>
          <w:sz w:val="32"/>
          <w:szCs w:val="32"/>
        </w:rPr>
        <w:t>（二）一般公共预算财政拨款支出决算结构情况</w:t>
      </w:r>
      <w:bookmarkEnd w:id="29"/>
    </w:p>
    <w:p>
      <w:pPr>
        <w:spacing w:line="600" w:lineRule="exact"/>
        <w:ind w:firstLine="640"/>
        <w:rPr>
          <w:rFonts w:ascii="仿宋" w:hAnsi="仿宋" w:eastAsia="仿宋"/>
          <w:b/>
          <w:color w:val="000000" w:themeColor="text1"/>
          <w:sz w:val="32"/>
          <w:szCs w:val="32"/>
        </w:rPr>
      </w:pPr>
      <w:r>
        <w:rPr>
          <w:rFonts w:hint="eastAsia" w:ascii="仿宋" w:hAnsi="仿宋" w:eastAsia="仿宋"/>
          <w:color w:val="000000"/>
          <w:sz w:val="32"/>
          <w:szCs w:val="32"/>
        </w:rPr>
        <w:t>2020年一般公共预算财政拨款支出527.59万元，主要用于以下方面:一般公共服务（类）支出457.91万元，占86.79%；教育支出（类）0万元，占0%；科学技术（类）支出0万元，占0%；文化旅游体育与传媒（类）支出0万元，占0%；社会保障和就业（类）支出31.69万元，占6%；卫生健康支出17.74万元，占3.37%；住房保障支出20.25万元，</w:t>
      </w:r>
      <w:r>
        <w:rPr>
          <w:rFonts w:hint="eastAsia" w:ascii="仿宋" w:hAnsi="仿宋" w:eastAsia="仿宋"/>
          <w:color w:val="000000" w:themeColor="text1"/>
          <w:sz w:val="32"/>
          <w:szCs w:val="32"/>
        </w:rPr>
        <w:t>占3.84</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pStyle w:val="2"/>
        <w:spacing w:before="93"/>
        <w:jc w:val="center"/>
        <w:rPr>
          <w:rFonts w:ascii="仿宋" w:hAnsi="仿宋" w:eastAsia="仿宋"/>
          <w:color w:val="000000" w:themeColor="text1"/>
          <w:sz w:val="32"/>
          <w:szCs w:val="32"/>
        </w:rPr>
      </w:pPr>
      <w:r>
        <w:rPr>
          <w:rFonts w:hint="eastAsia" w:ascii="仿宋" w:hAnsi="仿宋" w:eastAsia="仿宋"/>
          <w:color w:val="000000" w:themeColor="text1"/>
          <w:sz w:val="32"/>
          <w:szCs w:val="32"/>
        </w:rPr>
        <w:drawing>
          <wp:inline distT="0" distB="0" distL="114300" distR="114300">
            <wp:extent cx="4727575" cy="2447290"/>
            <wp:effectExtent l="4445" t="4445" r="11430" b="5715"/>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600" w:lineRule="exact"/>
        <w:ind w:firstLine="643" w:firstLineChars="200"/>
        <w:outlineLvl w:val="2"/>
        <w:rPr>
          <w:rFonts w:ascii="仿宋" w:hAnsi="仿宋" w:eastAsia="仿宋"/>
          <w:b/>
          <w:color w:val="000000"/>
          <w:sz w:val="32"/>
          <w:szCs w:val="32"/>
        </w:rPr>
      </w:pPr>
      <w:bookmarkStart w:id="30" w:name="_Toc15377212"/>
      <w:r>
        <w:rPr>
          <w:rFonts w:hint="eastAsia" w:ascii="仿宋" w:hAnsi="仿宋" w:eastAsia="仿宋"/>
          <w:b/>
          <w:color w:val="000000"/>
          <w:sz w:val="32"/>
          <w:szCs w:val="32"/>
        </w:rPr>
        <w:t>（三）一般公共预算财政拨款支出决算具体情况</w:t>
      </w:r>
      <w:bookmarkEnd w:id="30"/>
    </w:p>
    <w:p>
      <w:pPr>
        <w:spacing w:line="600" w:lineRule="exact"/>
        <w:ind w:firstLine="643" w:firstLineChars="200"/>
        <w:outlineLvl w:val="2"/>
        <w:rPr>
          <w:rFonts w:ascii="仿宋" w:hAnsi="仿宋" w:eastAsia="仿宋"/>
          <w:color w:val="FF0000"/>
          <w:sz w:val="32"/>
          <w:szCs w:val="32"/>
        </w:rPr>
      </w:pPr>
      <w:bookmarkStart w:id="31" w:name="_Toc15377213"/>
      <w:bookmarkStart w:id="32" w:name="_Toc15378460"/>
      <w:bookmarkStart w:id="33" w:name="_Toc15377444"/>
      <w:r>
        <w:rPr>
          <w:rFonts w:hint="eastAsia" w:ascii="仿宋" w:hAnsi="仿宋" w:eastAsia="仿宋"/>
          <w:b/>
          <w:color w:val="000000" w:themeColor="text1"/>
          <w:sz w:val="32"/>
          <w:szCs w:val="32"/>
        </w:rPr>
        <w:t>2020年一般公共预算支出决算数为527.59</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预算79.29</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1"/>
      <w:bookmarkEnd w:id="32"/>
      <w:bookmarkEnd w:id="33"/>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一般公共服务（类）商贸事务（款）行政运行（项）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支出决算为302.96万元，完成预算99.91</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，决算数小于，决算数小于预算数的主要原因一是厉行节约压缩行政运行支出。</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一般公共服务（类）商贸事务（款）一般行政管理事务（项）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支出决算为44.28万元，完成预算97.85</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Fonts w:ascii="仿宋" w:hAnsi="仿宋" w:eastAsia="仿宋"/>
          <w:color w:val="000000"/>
          <w:sz w:val="32"/>
        </w:rPr>
        <w:t>预算数的主要原因是压减一般性事务支出</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3.</w:t>
      </w:r>
      <w:r>
        <w:rPr>
          <w:rStyle w:val="14"/>
          <w:rFonts w:hint="eastAsia" w:ascii="仿宋" w:hAnsi="仿宋" w:eastAsia="仿宋"/>
          <w:bCs/>
          <w:color w:val="000000"/>
          <w:sz w:val="32"/>
          <w:szCs w:val="32"/>
        </w:rPr>
        <w:t>一般公共服务（类）商贸事务（款）招商引资（项）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支出决算为26.96万元，完成预算99.85</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，决算数小于预算数</w:t>
      </w:r>
      <w:r>
        <w:rPr>
          <w:rFonts w:ascii="仿宋" w:hAnsi="仿宋" w:eastAsia="仿宋"/>
          <w:color w:val="000000"/>
          <w:sz w:val="32"/>
        </w:rPr>
        <w:t>的主要原因是压减招商经费支出</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4.</w:t>
      </w:r>
      <w:r>
        <w:rPr>
          <w:rStyle w:val="14"/>
          <w:rFonts w:hint="eastAsia" w:ascii="仿宋" w:hAnsi="仿宋" w:eastAsia="仿宋"/>
          <w:bCs/>
          <w:color w:val="000000"/>
          <w:sz w:val="32"/>
          <w:szCs w:val="32"/>
        </w:rPr>
        <w:t>一般公共服务（类）其他一般行政管理事务（款）其他一般行政管理事务（项）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支出决算为83.71万元，完成预算38.58</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，决算数小于预算数的主要原因是</w:t>
      </w:r>
      <w:r>
        <w:rPr>
          <w:rFonts w:hint="eastAsia" w:hAnsi="仿宋" w:eastAsia="仿宋"/>
          <w:sz w:val="32"/>
          <w:szCs w:val="32"/>
        </w:rPr>
        <w:t>由于办公楼维修项目尚未完成，资金结转</w:t>
      </w:r>
      <w:r>
        <w:rPr>
          <w:rStyle w:val="14"/>
          <w:rFonts w:hint="eastAsia" w:ascii="仿宋" w:hAnsi="仿宋" w:eastAsia="仿宋" w:cstheme="minorBidi"/>
          <w:b w:val="0"/>
          <w:bCs/>
          <w:color w:val="000000"/>
          <w:sz w:val="32"/>
          <w:szCs w:val="32"/>
        </w:rPr>
        <w:t>2021</w:t>
      </w:r>
      <w:r>
        <w:rPr>
          <w:rFonts w:hint="eastAsia" w:hAnsi="仿宋" w:eastAsia="仿宋"/>
          <w:sz w:val="32"/>
          <w:szCs w:val="32"/>
        </w:rPr>
        <w:t>年使用</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5.</w:t>
      </w:r>
      <w:r>
        <w:rPr>
          <w:rStyle w:val="14"/>
          <w:rFonts w:hint="eastAsia" w:ascii="仿宋" w:hAnsi="仿宋" w:eastAsia="仿宋"/>
          <w:bCs/>
          <w:color w:val="000000"/>
          <w:sz w:val="32"/>
          <w:szCs w:val="32"/>
        </w:rPr>
        <w:t>教育支出（类）进修及培训（款）培训支出（项）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支出决算为0万元，完成预算0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，决算数小于预算数的</w:t>
      </w:r>
      <w:r>
        <w:rPr>
          <w:rFonts w:ascii="仿宋" w:hAnsi="仿宋" w:eastAsia="仿宋"/>
          <w:color w:val="000000"/>
          <w:sz w:val="32"/>
        </w:rPr>
        <w:t>主要原因是</w:t>
      </w:r>
      <w:r>
        <w:rPr>
          <w:rFonts w:hint="eastAsia" w:ascii="仿宋" w:hAnsi="仿宋" w:eastAsia="仿宋"/>
          <w:color w:val="000000"/>
          <w:sz w:val="32"/>
        </w:rPr>
        <w:t>受疫情影响</w:t>
      </w:r>
      <w:r>
        <w:rPr>
          <w:rFonts w:ascii="仿宋" w:hAnsi="仿宋" w:eastAsia="仿宋"/>
          <w:color w:val="000000"/>
          <w:sz w:val="32"/>
        </w:rPr>
        <w:t>压减培训规模</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6.社会保障和就业支出（类）行政事业单位离退休（款）未归口管理的行政单位离退休（项）:</w:t>
      </w:r>
      <w:r>
        <w:rPr>
          <w:rStyle w:val="14"/>
          <w:rFonts w:hint="eastAsia" w:ascii="仿宋" w:hAnsi="仿宋" w:eastAsia="仿宋"/>
          <w:b w:val="0"/>
          <w:bCs/>
          <w:color w:val="000000"/>
          <w:sz w:val="32"/>
          <w:szCs w:val="32"/>
        </w:rPr>
        <w:t>支出决算为11.76万元，完成预算100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cstheme="minorBidi"/>
          <w:bCs/>
          <w:color w:val="000000"/>
          <w:sz w:val="32"/>
          <w:szCs w:val="32"/>
        </w:rPr>
        <w:t>7.</w:t>
      </w:r>
      <w:r>
        <w:rPr>
          <w:rStyle w:val="14"/>
          <w:rFonts w:ascii="仿宋" w:hAnsi="仿宋" w:eastAsia="仿宋" w:cstheme="minorBidi"/>
          <w:bCs/>
          <w:color w:val="000000"/>
          <w:sz w:val="32"/>
          <w:szCs w:val="32"/>
        </w:rPr>
        <w:t>社会保障和就业支出（类）行政事业单位离退休（款）机关事业单位基本养老保险缴费支出（项）:</w:t>
      </w:r>
      <w:r>
        <w:rPr>
          <w:rStyle w:val="14"/>
          <w:rFonts w:hint="eastAsia" w:ascii="仿宋" w:hAnsi="仿宋" w:eastAsia="仿宋"/>
          <w:b w:val="0"/>
          <w:bCs/>
          <w:color w:val="000000"/>
          <w:sz w:val="32"/>
          <w:szCs w:val="32"/>
        </w:rPr>
        <w:t>支出决算为19.93万元，完成预算87.41</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，决算数小于预算数的</w:t>
      </w:r>
      <w:r>
        <w:rPr>
          <w:rFonts w:ascii="仿宋" w:hAnsi="仿宋" w:eastAsia="仿宋"/>
          <w:color w:val="000000"/>
          <w:sz w:val="32"/>
        </w:rPr>
        <w:t>主要原因是</w:t>
      </w:r>
      <w:r>
        <w:rPr>
          <w:rFonts w:hint="eastAsia" w:ascii="仿宋" w:hAnsi="仿宋" w:eastAsia="仿宋"/>
          <w:color w:val="000000"/>
          <w:sz w:val="32"/>
        </w:rPr>
        <w:t>受疫情影响对控编人员单位缴费实行了减免</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color w:val="000000"/>
          <w:sz w:val="32"/>
        </w:rPr>
      </w:pPr>
      <w:r>
        <w:rPr>
          <w:rStyle w:val="14"/>
          <w:rFonts w:hint="eastAsia" w:ascii="仿宋" w:hAnsi="仿宋" w:eastAsia="仿宋" w:cstheme="minorBidi"/>
          <w:bCs/>
          <w:color w:val="000000"/>
          <w:sz w:val="32"/>
          <w:szCs w:val="32"/>
        </w:rPr>
        <w:t>8.</w:t>
      </w:r>
      <w:r>
        <w:rPr>
          <w:rStyle w:val="14"/>
          <w:rFonts w:ascii="仿宋" w:hAnsi="仿宋" w:eastAsia="仿宋" w:cstheme="minorBidi"/>
          <w:bCs/>
          <w:color w:val="000000"/>
          <w:sz w:val="32"/>
          <w:szCs w:val="32"/>
        </w:rPr>
        <w:t>卫生健康支出（类）行政事业单位医疗（款）行政单位医疗（项）:</w:t>
      </w:r>
      <w:r>
        <w:rPr>
          <w:rFonts w:ascii="仿宋" w:hAnsi="仿宋" w:eastAsia="仿宋"/>
          <w:color w:val="000000"/>
          <w:sz w:val="32"/>
        </w:rPr>
        <w:t>支出决算为</w:t>
      </w:r>
      <w:r>
        <w:rPr>
          <w:rFonts w:hint="eastAsia" w:ascii="仿宋" w:hAnsi="仿宋" w:eastAsia="仿宋"/>
          <w:color w:val="000000"/>
          <w:sz w:val="32"/>
        </w:rPr>
        <w:t>0.78</w:t>
      </w:r>
      <w:r>
        <w:rPr>
          <w:rFonts w:ascii="仿宋" w:hAnsi="仿宋" w:eastAsia="仿宋"/>
          <w:color w:val="000000"/>
          <w:sz w:val="32"/>
        </w:rPr>
        <w:t>万元，完成预算</w:t>
      </w:r>
      <w:r>
        <w:rPr>
          <w:rFonts w:hint="eastAsia" w:ascii="仿宋" w:hAnsi="仿宋" w:eastAsia="仿宋"/>
          <w:color w:val="000000"/>
          <w:sz w:val="32"/>
        </w:rPr>
        <w:t>100</w:t>
      </w:r>
      <w:r>
        <w:rPr>
          <w:rFonts w:ascii="仿宋" w:hAnsi="仿宋" w:eastAsia="仿宋"/>
          <w:color w:val="000000"/>
          <w:sz w:val="32"/>
        </w:rPr>
        <w:t>%，决算数</w:t>
      </w:r>
      <w:r>
        <w:rPr>
          <w:rFonts w:hint="eastAsia" w:ascii="仿宋" w:hAnsi="仿宋" w:eastAsia="仿宋"/>
          <w:color w:val="000000"/>
          <w:sz w:val="32"/>
        </w:rPr>
        <w:t>等</w:t>
      </w:r>
      <w:r>
        <w:rPr>
          <w:rFonts w:ascii="仿宋" w:hAnsi="仿宋" w:eastAsia="仿宋"/>
          <w:color w:val="000000"/>
          <w:sz w:val="32"/>
        </w:rPr>
        <w:t>于预算数</w:t>
      </w:r>
      <w:r>
        <w:rPr>
          <w:rFonts w:hint="eastAsia" w:ascii="仿宋" w:hAnsi="仿宋" w:eastAsia="仿宋"/>
          <w:color w:val="000000"/>
          <w:sz w:val="32"/>
        </w:rPr>
        <w:t>。</w:t>
      </w:r>
    </w:p>
    <w:p>
      <w:pPr>
        <w:spacing w:line="600" w:lineRule="exact"/>
        <w:ind w:firstLine="640" w:firstLineChars="200"/>
        <w:rPr>
          <w:rFonts w:ascii="仿宋" w:hAnsi="仿宋" w:eastAsia="仿宋"/>
          <w:color w:val="000000"/>
          <w:sz w:val="32"/>
        </w:rPr>
      </w:pPr>
      <w:r>
        <w:rPr>
          <w:rFonts w:hint="eastAsia" w:ascii="仿宋" w:hAnsi="仿宋" w:eastAsia="仿宋"/>
          <w:color w:val="000000"/>
          <w:sz w:val="32"/>
        </w:rPr>
        <w:t>9.</w:t>
      </w:r>
      <w:r>
        <w:rPr>
          <w:rStyle w:val="14"/>
          <w:rFonts w:ascii="仿宋" w:hAnsi="仿宋" w:eastAsia="仿宋" w:cstheme="minorBidi"/>
          <w:bCs/>
          <w:color w:val="000000"/>
          <w:sz w:val="32"/>
          <w:szCs w:val="32"/>
        </w:rPr>
        <w:t>卫生健康支出（类）行政事业单位医疗（款）事业单位医疗（项）:</w:t>
      </w:r>
      <w:r>
        <w:rPr>
          <w:rFonts w:ascii="仿宋" w:hAnsi="仿宋" w:eastAsia="仿宋"/>
          <w:color w:val="000000"/>
          <w:sz w:val="32"/>
        </w:rPr>
        <w:t>支出决算为</w:t>
      </w:r>
      <w:r>
        <w:rPr>
          <w:rFonts w:hint="eastAsia" w:ascii="仿宋" w:hAnsi="仿宋" w:eastAsia="仿宋"/>
          <w:color w:val="000000"/>
          <w:sz w:val="32"/>
        </w:rPr>
        <w:t>14.54</w:t>
      </w:r>
      <w:r>
        <w:rPr>
          <w:rFonts w:ascii="仿宋" w:hAnsi="仿宋" w:eastAsia="仿宋"/>
          <w:color w:val="000000"/>
          <w:sz w:val="32"/>
        </w:rPr>
        <w:t>万元，完成预算100%，决算数等于预算数。</w:t>
      </w:r>
    </w:p>
    <w:p>
      <w:pPr>
        <w:spacing w:line="600" w:lineRule="exact"/>
        <w:ind w:firstLine="643" w:firstLineChars="200"/>
        <w:rPr>
          <w:rFonts w:ascii="仿宋" w:hAnsi="仿宋" w:eastAsia="仿宋"/>
          <w:color w:val="000000"/>
          <w:sz w:val="32"/>
        </w:rPr>
      </w:pPr>
      <w:r>
        <w:rPr>
          <w:rStyle w:val="14"/>
          <w:rFonts w:hint="eastAsia" w:ascii="仿宋" w:hAnsi="仿宋" w:eastAsia="仿宋" w:cstheme="minorBidi"/>
          <w:bCs/>
          <w:color w:val="000000"/>
          <w:sz w:val="32"/>
          <w:szCs w:val="32"/>
        </w:rPr>
        <w:t>10.</w:t>
      </w:r>
      <w:r>
        <w:rPr>
          <w:rStyle w:val="14"/>
          <w:rFonts w:ascii="仿宋" w:hAnsi="仿宋" w:eastAsia="仿宋" w:cstheme="minorBidi"/>
          <w:bCs/>
          <w:color w:val="000000"/>
          <w:sz w:val="32"/>
          <w:szCs w:val="32"/>
        </w:rPr>
        <w:t>卫生健康支出（类）行政事业单位医疗（款）公务员医疗补助（项）:</w:t>
      </w:r>
      <w:r>
        <w:rPr>
          <w:rFonts w:ascii="仿宋" w:hAnsi="仿宋" w:eastAsia="仿宋"/>
          <w:color w:val="000000"/>
          <w:sz w:val="32"/>
        </w:rPr>
        <w:t>支出决算为</w:t>
      </w:r>
      <w:r>
        <w:rPr>
          <w:rFonts w:hint="eastAsia" w:ascii="仿宋" w:hAnsi="仿宋" w:eastAsia="仿宋"/>
          <w:color w:val="000000"/>
          <w:sz w:val="32"/>
        </w:rPr>
        <w:t>2.42</w:t>
      </w:r>
      <w:r>
        <w:rPr>
          <w:rFonts w:ascii="仿宋" w:hAnsi="仿宋" w:eastAsia="仿宋"/>
          <w:color w:val="000000"/>
          <w:sz w:val="32"/>
        </w:rPr>
        <w:t>万元，完成预算9</w:t>
      </w:r>
      <w:r>
        <w:rPr>
          <w:rFonts w:hint="eastAsia" w:ascii="仿宋" w:hAnsi="仿宋" w:eastAsia="仿宋"/>
          <w:color w:val="000000"/>
          <w:sz w:val="32"/>
        </w:rPr>
        <w:t>4.16</w:t>
      </w:r>
      <w:r>
        <w:rPr>
          <w:rFonts w:ascii="仿宋" w:hAnsi="仿宋" w:eastAsia="仿宋"/>
          <w:color w:val="000000"/>
          <w:sz w:val="32"/>
        </w:rPr>
        <w:t>%，决算数小于预算数的主要原因是人员</w:t>
      </w:r>
      <w:r>
        <w:rPr>
          <w:rFonts w:hint="eastAsia" w:ascii="仿宋" w:hAnsi="仿宋" w:eastAsia="仿宋"/>
          <w:color w:val="000000"/>
          <w:sz w:val="32"/>
        </w:rPr>
        <w:t>变动</w:t>
      </w:r>
      <w:r>
        <w:rPr>
          <w:rFonts w:ascii="仿宋" w:hAnsi="仿宋" w:eastAsia="仿宋"/>
          <w:color w:val="000000"/>
          <w:sz w:val="32"/>
        </w:rPr>
        <w:t>形成结余。</w:t>
      </w:r>
    </w:p>
    <w:p>
      <w:pPr>
        <w:spacing w:line="600" w:lineRule="exact"/>
        <w:ind w:firstLine="643" w:firstLineChars="200"/>
        <w:rPr>
          <w:rFonts w:ascii="仿宋" w:hAnsi="仿宋" w:eastAsia="仿宋"/>
          <w:color w:val="000000"/>
          <w:sz w:val="32"/>
        </w:rPr>
      </w:pPr>
      <w:r>
        <w:rPr>
          <w:rStyle w:val="14"/>
          <w:rFonts w:hint="eastAsia" w:ascii="仿宋" w:hAnsi="仿宋" w:eastAsia="仿宋" w:cstheme="minorBidi"/>
          <w:bCs/>
          <w:color w:val="000000"/>
          <w:sz w:val="32"/>
          <w:szCs w:val="32"/>
        </w:rPr>
        <w:t>11.住房保障支出（类）住房改革支出（款）住房公积金（项）</w:t>
      </w:r>
      <w:r>
        <w:rPr>
          <w:rStyle w:val="14"/>
          <w:rFonts w:ascii="仿宋" w:hAnsi="仿宋" w:eastAsia="仿宋" w:cstheme="minorBidi"/>
          <w:bCs/>
          <w:color w:val="000000"/>
          <w:sz w:val="32"/>
          <w:szCs w:val="32"/>
        </w:rPr>
        <w:t>:</w:t>
      </w:r>
      <w:r>
        <w:rPr>
          <w:rStyle w:val="14"/>
          <w:rFonts w:hint="eastAsia" w:ascii="仿宋" w:hAnsi="仿宋" w:eastAsia="仿宋"/>
          <w:b w:val="0"/>
          <w:bCs/>
          <w:color w:val="000000"/>
          <w:sz w:val="32"/>
          <w:szCs w:val="32"/>
        </w:rPr>
        <w:t>支出决算为20.25万元，完成预算99.16</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，决算数小于预算数的</w:t>
      </w:r>
      <w:r>
        <w:rPr>
          <w:rFonts w:ascii="仿宋" w:hAnsi="仿宋" w:eastAsia="仿宋"/>
          <w:color w:val="000000"/>
          <w:sz w:val="32"/>
        </w:rPr>
        <w:t>主要是人员</w:t>
      </w:r>
      <w:r>
        <w:rPr>
          <w:rFonts w:hint="eastAsia" w:ascii="仿宋" w:hAnsi="仿宋" w:eastAsia="仿宋"/>
          <w:color w:val="000000"/>
          <w:sz w:val="32"/>
        </w:rPr>
        <w:t>变动</w:t>
      </w:r>
      <w:r>
        <w:rPr>
          <w:rFonts w:ascii="仿宋" w:hAnsi="仿宋" w:eastAsia="仿宋"/>
          <w:color w:val="000000"/>
          <w:sz w:val="32"/>
        </w:rPr>
        <w:t>形成结余</w:t>
      </w:r>
      <w:r>
        <w:rPr>
          <w:rFonts w:hint="eastAsia" w:ascii="仿宋" w:hAnsi="仿宋" w:eastAsia="仿宋"/>
          <w:color w:val="000000"/>
          <w:sz w:val="32"/>
        </w:rPr>
        <w:t>。</w:t>
      </w:r>
    </w:p>
    <w:p>
      <w:pPr>
        <w:tabs>
          <w:tab w:val="right" w:pos="8306"/>
        </w:tabs>
        <w:spacing w:line="600" w:lineRule="exact"/>
        <w:ind w:firstLine="640"/>
        <w:outlineLvl w:val="1"/>
        <w:rPr>
          <w:rStyle w:val="25"/>
        </w:rPr>
      </w:pPr>
      <w:bookmarkStart w:id="34" w:name="_Toc15396608"/>
      <w:bookmarkStart w:id="35"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34"/>
      <w:bookmarkEnd w:id="35"/>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20年一般公共预算财政拨款基本支出376.87万元，其中：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252.05万元，主要包括：基本工资、津贴补贴、奖金、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124.82万元，主要包括：办公费、印刷费、咨询费、手续费、水费、电费、邮电费、物业管理费、差旅费、因公出国（境）费用、维修（护）费、租赁费、会议费、培训费、公务接待费、劳务费、委托业务费、工会经费、福利费、公务用车运行维护费、其他交通费、其他商品和服务支出等。</w:t>
      </w:r>
    </w:p>
    <w:p>
      <w:pPr>
        <w:spacing w:line="600" w:lineRule="exact"/>
        <w:ind w:firstLine="640"/>
        <w:outlineLvl w:val="1"/>
        <w:rPr>
          <w:rStyle w:val="25"/>
          <w:rFonts w:ascii="黑体" w:hAnsi="黑体" w:eastAsia="黑体"/>
          <w:b w:val="0"/>
        </w:rPr>
      </w:pPr>
      <w:bookmarkStart w:id="36" w:name="_Toc15377215"/>
      <w:bookmarkStart w:id="37"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36"/>
      <w:bookmarkEnd w:id="37"/>
    </w:p>
    <w:p>
      <w:pPr>
        <w:spacing w:line="600" w:lineRule="exact"/>
        <w:ind w:firstLine="640"/>
        <w:outlineLvl w:val="2"/>
        <w:rPr>
          <w:rFonts w:ascii="仿宋" w:hAnsi="仿宋" w:eastAsia="仿宋"/>
          <w:b/>
          <w:color w:val="000000"/>
          <w:sz w:val="32"/>
          <w:szCs w:val="32"/>
        </w:rPr>
      </w:pPr>
      <w:bookmarkStart w:id="38" w:name="_Toc15377216"/>
      <w:r>
        <w:rPr>
          <w:rFonts w:hint="eastAsia" w:ascii="仿宋" w:hAnsi="仿宋" w:eastAsia="仿宋"/>
          <w:b/>
          <w:color w:val="000000"/>
          <w:sz w:val="32"/>
          <w:szCs w:val="32"/>
        </w:rPr>
        <w:t>（一）“三公”经费财政拨款支出决算总体情况说明</w:t>
      </w:r>
      <w:bookmarkEnd w:id="3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20年“三公”经费财政拨款支出决算为28.48万元，完成预算89</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w:t>
      </w:r>
      <w:r>
        <w:rPr>
          <w:rFonts w:ascii="仿宋" w:hAnsi="仿宋" w:eastAsia="仿宋"/>
          <w:color w:val="000000"/>
          <w:sz w:val="32"/>
        </w:rPr>
        <w:t>，决算数小于预算数的主要原因是厉行节约大力压缩三公经费支出</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39" w:name="_Toc15377217"/>
      <w:r>
        <w:rPr>
          <w:rFonts w:hint="eastAsia" w:ascii="仿宋" w:hAnsi="仿宋" w:eastAsia="仿宋"/>
          <w:b/>
          <w:color w:val="000000"/>
          <w:sz w:val="32"/>
          <w:szCs w:val="32"/>
        </w:rPr>
        <w:t>（二）“三公”经费财政拨款支出决算具体情况说明</w:t>
      </w:r>
      <w:bookmarkEnd w:id="3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；公务用车购置及运行维护费支出决算9.51万元，占33.39</w:t>
      </w:r>
      <w:r>
        <w:rPr>
          <w:rFonts w:ascii="仿宋" w:hAnsi="仿宋" w:eastAsia="仿宋"/>
          <w:color w:val="000000"/>
          <w:sz w:val="32"/>
          <w:szCs w:val="32"/>
        </w:rPr>
        <w:t>%</w:t>
      </w:r>
      <w:r>
        <w:rPr>
          <w:rFonts w:hint="eastAsia" w:ascii="仿宋" w:hAnsi="仿宋" w:eastAsia="仿宋"/>
          <w:color w:val="000000"/>
          <w:sz w:val="32"/>
          <w:szCs w:val="32"/>
        </w:rPr>
        <w:t>；公务接待费支出决算18.97万元，占66.61</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59264" behindDoc="1" locked="0" layoutInCell="1" allowOverlap="1">
            <wp:simplePos x="0" y="0"/>
            <wp:positionH relativeFrom="column">
              <wp:posOffset>410845</wp:posOffset>
            </wp:positionH>
            <wp:positionV relativeFrom="paragraph">
              <wp:posOffset>261620</wp:posOffset>
            </wp:positionV>
            <wp:extent cx="4793615" cy="2286635"/>
            <wp:effectExtent l="4445" t="4445" r="21590" b="71120"/>
            <wp:wrapTight wrapText="bothSides">
              <wp:wrapPolygon>
                <wp:start x="-20" y="-42"/>
                <wp:lineTo x="-20" y="21552"/>
                <wp:lineTo x="21526" y="21552"/>
                <wp:lineTo x="21526" y="-42"/>
                <wp:lineTo x="-20" y="-42"/>
              </wp:wrapPolygon>
            </wp:wrapTight>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pPr>
        <w:spacing w:line="600" w:lineRule="exact"/>
        <w:rPr>
          <w:rFonts w:ascii="仿宋_GB2312" w:eastAsia="仿宋_GB2312"/>
          <w:b/>
          <w:color w:val="000000"/>
          <w:sz w:val="32"/>
          <w:szCs w:val="32"/>
        </w:rPr>
      </w:pPr>
    </w:p>
    <w:p>
      <w:pPr>
        <w:spacing w:line="600" w:lineRule="exact"/>
        <w:rPr>
          <w:rFonts w:ascii="仿宋_GB2312" w:eastAsia="仿宋_GB2312"/>
          <w:b/>
          <w:color w:val="000000"/>
          <w:sz w:val="32"/>
          <w:szCs w:val="32"/>
        </w:rPr>
      </w:pPr>
    </w:p>
    <w:p>
      <w:pPr>
        <w:spacing w:line="600" w:lineRule="exact"/>
        <w:rPr>
          <w:rFonts w:ascii="仿宋_GB2312" w:eastAsia="仿宋_GB2312"/>
          <w:b/>
          <w:color w:val="000000"/>
          <w:sz w:val="32"/>
          <w:szCs w:val="32"/>
        </w:rPr>
      </w:pPr>
    </w:p>
    <w:p>
      <w:pPr>
        <w:spacing w:line="600" w:lineRule="exact"/>
        <w:rPr>
          <w:rFonts w:ascii="仿宋_GB2312" w:eastAsia="仿宋_GB2312"/>
          <w:b/>
          <w:color w:val="000000"/>
          <w:sz w:val="32"/>
          <w:szCs w:val="32"/>
        </w:rPr>
      </w:pPr>
    </w:p>
    <w:p>
      <w:pPr>
        <w:spacing w:line="600" w:lineRule="exact"/>
        <w:rPr>
          <w:rFonts w:ascii="仿宋_GB2312" w:eastAsia="仿宋_GB2312"/>
          <w:b/>
          <w:color w:val="000000"/>
          <w:sz w:val="32"/>
          <w:szCs w:val="32"/>
        </w:rPr>
      </w:pPr>
    </w:p>
    <w:p>
      <w:pPr>
        <w:spacing w:line="600" w:lineRule="exact"/>
        <w:rPr>
          <w:rFonts w:ascii="仿宋_GB2312" w:eastAsia="仿宋_GB2312"/>
          <w:b/>
          <w:color w:val="000000"/>
          <w:sz w:val="32"/>
          <w:szCs w:val="32"/>
        </w:rPr>
      </w:pPr>
    </w:p>
    <w:p>
      <w:pPr>
        <w:spacing w:line="600" w:lineRule="exact"/>
        <w:rPr>
          <w:rFonts w:ascii="仿宋_GB2312" w:eastAsia="仿宋_GB2312"/>
          <w:b/>
          <w:color w:val="000000"/>
          <w:sz w:val="32"/>
          <w:szCs w:val="32"/>
        </w:rPr>
      </w:pPr>
    </w:p>
    <w:p>
      <w:pPr>
        <w:spacing w:line="60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1.</w:t>
      </w:r>
      <w:r>
        <w:rPr>
          <w:rFonts w:hint="eastAsia" w:ascii="仿宋" w:hAnsi="仿宋" w:eastAsia="仿宋"/>
          <w:b/>
          <w:color w:val="000000"/>
          <w:sz w:val="32"/>
          <w:szCs w:val="32"/>
        </w:rPr>
        <w:t xml:space="preserve"> </w:t>
      </w:r>
      <w:r>
        <w:rPr>
          <w:rFonts w:hint="eastAsia" w:ascii="仿宋_GB2312" w:eastAsia="仿宋_GB2312"/>
          <w:b/>
          <w:color w:val="000000"/>
          <w:sz w:val="32"/>
          <w:szCs w:val="32"/>
        </w:rPr>
        <w:t>因公出国（境）经费支出0万元，</w:t>
      </w:r>
      <w:r>
        <w:rPr>
          <w:rFonts w:hint="eastAsia" w:ascii="仿宋_GB2312" w:eastAsia="仿宋_GB2312"/>
          <w:color w:val="000000"/>
          <w:sz w:val="32"/>
          <w:szCs w:val="32"/>
        </w:rPr>
        <w:t>完成预算0</w:t>
      </w:r>
      <w:r>
        <w:rPr>
          <w:rFonts w:ascii="仿宋_GB2312" w:eastAsia="仿宋_GB2312"/>
          <w:color w:val="000000"/>
          <w:sz w:val="32"/>
          <w:szCs w:val="32"/>
        </w:rPr>
        <w:t>%</w:t>
      </w:r>
      <w:r>
        <w:rPr>
          <w:rFonts w:hint="eastAsia" w:ascii="仿宋_GB2312" w:eastAsia="仿宋_GB2312"/>
          <w:color w:val="000000"/>
          <w:sz w:val="32"/>
          <w:szCs w:val="32"/>
        </w:rPr>
        <w:t>。全年安排因公出国（境）团组0次，出国（境）0人。因公出国（境）支出决算与</w:t>
      </w:r>
      <w:r>
        <w:rPr>
          <w:rFonts w:ascii="仿宋_GB2312" w:eastAsia="仿宋_GB2312"/>
          <w:color w:val="000000"/>
          <w:sz w:val="32"/>
          <w:szCs w:val="32"/>
        </w:rPr>
        <w:t>201</w:t>
      </w:r>
      <w:r>
        <w:rPr>
          <w:rFonts w:hint="eastAsia" w:ascii="仿宋_GB2312" w:eastAsia="仿宋_GB2312"/>
          <w:color w:val="000000"/>
          <w:sz w:val="32"/>
          <w:szCs w:val="32"/>
        </w:rPr>
        <w:t>9年持平。</w:t>
      </w:r>
    </w:p>
    <w:p>
      <w:pPr>
        <w:spacing w:line="60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2</w:t>
      </w:r>
      <w:r>
        <w:rPr>
          <w:rFonts w:ascii="仿宋_GB2312" w:eastAsia="仿宋_GB2312"/>
          <w:b/>
          <w:color w:val="000000"/>
          <w:sz w:val="32"/>
          <w:szCs w:val="32"/>
        </w:rPr>
        <w:t>.</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9.51万元,</w:t>
      </w:r>
      <w:r>
        <w:rPr>
          <w:rStyle w:val="14"/>
          <w:rFonts w:hint="eastAsia" w:ascii="仿宋" w:hAnsi="仿宋" w:eastAsia="仿宋"/>
          <w:b w:val="0"/>
          <w:bCs/>
          <w:color w:val="000000"/>
          <w:sz w:val="32"/>
          <w:szCs w:val="32"/>
        </w:rPr>
        <w:t>完成预算79.25</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9年减少3.8万元，下降28.54</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ascii="仿宋" w:hAnsi="仿宋" w:eastAsia="仿宋"/>
          <w:color w:val="000000"/>
          <w:sz w:val="32"/>
        </w:rPr>
        <w:t>厉行节约大力压缩三公经费支出</w:t>
      </w:r>
      <w:r>
        <w:rPr>
          <w:rFonts w:hint="eastAsia" w:ascii="仿宋_GB2312" w:eastAsia="仿宋_GB2312"/>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0万元。全年按规定更新购置公务用车0辆，其中：轿车0辆、金额0万元，越野车0辆、金额0万元，载客汽车0辆、金额0万元。截至</w:t>
      </w:r>
      <w:r>
        <w:rPr>
          <w:rFonts w:ascii="仿宋_GB2312" w:eastAsia="仿宋_GB2312"/>
          <w:color w:val="000000"/>
          <w:sz w:val="32"/>
          <w:szCs w:val="32"/>
        </w:rPr>
        <w:t>20</w:t>
      </w:r>
      <w:r>
        <w:rPr>
          <w:rFonts w:hint="eastAsia" w:ascii="仿宋_GB2312" w:eastAsia="仿宋_GB2312"/>
          <w:color w:val="000000"/>
          <w:sz w:val="32"/>
          <w:szCs w:val="32"/>
        </w:rPr>
        <w:t>20年</w:t>
      </w:r>
      <w:r>
        <w:rPr>
          <w:rFonts w:ascii="仿宋_GB2312" w:eastAsia="仿宋_GB2312"/>
          <w:color w:val="000000"/>
          <w:sz w:val="32"/>
          <w:szCs w:val="32"/>
        </w:rPr>
        <w:t>12</w:t>
      </w:r>
      <w:r>
        <w:rPr>
          <w:rFonts w:hint="eastAsia" w:ascii="仿宋_GB2312" w:eastAsia="仿宋_GB2312"/>
          <w:color w:val="000000"/>
          <w:sz w:val="32"/>
          <w:szCs w:val="32"/>
        </w:rPr>
        <w:t>月底，单位共有公务用车2辆，其中：轿车0辆、越野车1辆、载客汽车1辆。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9.51万元。主要用于</w:t>
      </w:r>
      <w:r>
        <w:rPr>
          <w:rFonts w:ascii="FangSong_GB2312" w:hAnsi="FangSong_GB2312" w:eastAsia="FangSong_GB2312"/>
          <w:color w:val="000000"/>
          <w:sz w:val="32"/>
        </w:rPr>
        <w:t>和办事处开展投资促进工作</w:t>
      </w:r>
      <w:r>
        <w:rPr>
          <w:rFonts w:hint="eastAsia" w:ascii="FangSong_GB2312" w:hAnsi="FangSong_GB2312" w:eastAsia="FangSong_GB2312"/>
          <w:color w:val="000000"/>
          <w:sz w:val="32"/>
        </w:rPr>
        <w:t>、公务活动</w:t>
      </w:r>
      <w:r>
        <w:rPr>
          <w:rFonts w:hint="eastAsia" w:ascii="仿宋_GB2312" w:eastAsia="仿宋_GB2312"/>
          <w:color w:val="000000"/>
          <w:sz w:val="32"/>
          <w:szCs w:val="32"/>
        </w:rPr>
        <w:t>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18.97万元，</w:t>
      </w:r>
      <w:r>
        <w:rPr>
          <w:rStyle w:val="14"/>
          <w:rFonts w:hint="eastAsia" w:ascii="仿宋" w:hAnsi="仿宋" w:eastAsia="仿宋"/>
          <w:b w:val="0"/>
          <w:bCs/>
          <w:color w:val="000000"/>
          <w:sz w:val="32"/>
          <w:szCs w:val="32"/>
        </w:rPr>
        <w:t>完成预算94.85</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9年增加0.18万元，增长0.95</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ascii="FangSong_GB2312" w:hAnsi="FangSong_GB2312" w:eastAsia="FangSong_GB2312"/>
          <w:color w:val="000000"/>
          <w:sz w:val="32"/>
        </w:rPr>
        <w:t>加大招商引资工作力度</w:t>
      </w:r>
      <w:r>
        <w:rPr>
          <w:rFonts w:hint="eastAsia" w:ascii="仿宋_GB2312" w:eastAsia="仿宋_GB2312"/>
          <w:color w:val="000000"/>
          <w:sz w:val="32"/>
          <w:szCs w:val="32"/>
        </w:rPr>
        <w:t>。其中：</w:t>
      </w:r>
    </w:p>
    <w:p>
      <w:pPr>
        <w:spacing w:line="600" w:lineRule="exact"/>
        <w:ind w:firstLine="640"/>
        <w:rPr>
          <w:rFonts w:ascii="仿宋_GB2312" w:eastAsia="FangSong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18.97</w:t>
      </w:r>
      <w:r>
        <w:rPr>
          <w:rFonts w:hint="eastAsia" w:ascii="仿宋_GB2312" w:eastAsia="仿宋_GB2312"/>
          <w:color w:val="000000"/>
          <w:sz w:val="32"/>
          <w:szCs w:val="32"/>
        </w:rPr>
        <w:t>万元，主要</w:t>
      </w:r>
      <w:r>
        <w:rPr>
          <w:rFonts w:ascii="FangSong_GB2312" w:hAnsi="FangSong_GB2312" w:eastAsia="FangSong_GB2312"/>
          <w:color w:val="000000"/>
          <w:sz w:val="32"/>
        </w:rPr>
        <w:t>开展投资促活动、执行公务、开展业务活动开支的交通费、住宿费、用餐费等。</w:t>
      </w:r>
      <w:r>
        <w:rPr>
          <w:rFonts w:hint="eastAsia" w:ascii="仿宋_GB2312" w:eastAsia="仿宋_GB2312"/>
          <w:color w:val="000000"/>
          <w:sz w:val="32"/>
          <w:szCs w:val="32"/>
        </w:rPr>
        <w:t>国内公务接待168批次，1663人次（不包括陪同人员），共计支出18.97万元，</w:t>
      </w:r>
      <w:r>
        <w:rPr>
          <w:rFonts w:ascii="FangSong_GB2312" w:hAnsi="FangSong_GB2312" w:eastAsia="FangSong_GB2312"/>
          <w:color w:val="000000"/>
          <w:sz w:val="32"/>
        </w:rPr>
        <w:t>具体内容包括：举办20</w:t>
      </w:r>
      <w:r>
        <w:rPr>
          <w:rFonts w:hint="eastAsia" w:ascii="FangSong_GB2312" w:hAnsi="FangSong_GB2312" w:eastAsia="FangSong_GB2312"/>
          <w:color w:val="000000"/>
          <w:sz w:val="32"/>
        </w:rPr>
        <w:t>20</w:t>
      </w:r>
      <w:r>
        <w:rPr>
          <w:rFonts w:ascii="FangSong_GB2312" w:hAnsi="FangSong_GB2312" w:eastAsia="FangSong_GB2312"/>
          <w:color w:val="000000"/>
          <w:sz w:val="32"/>
        </w:rPr>
        <w:t>中外知名企业四川行等系列重大投资促进活动，以及日常开展投资促进活动的客商接待</w:t>
      </w:r>
      <w:r>
        <w:rPr>
          <w:rFonts w:hint="eastAsia" w:ascii="FangSong_GB2312" w:hAnsi="FangSong_GB2312" w:eastAsia="FangSong_GB2312"/>
          <w:color w:val="000000"/>
          <w:sz w:val="32"/>
        </w:rPr>
        <w:t>。</w:t>
      </w:r>
    </w:p>
    <w:p>
      <w:pPr>
        <w:spacing w:line="600" w:lineRule="exact"/>
        <w:ind w:firstLine="640"/>
        <w:outlineLvl w:val="1"/>
        <w:rPr>
          <w:rStyle w:val="25"/>
          <w:rFonts w:ascii="黑体" w:hAnsi="黑体" w:eastAsia="黑体"/>
        </w:rPr>
      </w:pPr>
      <w:bookmarkStart w:id="40" w:name="_Toc15377218"/>
      <w:bookmarkStart w:id="41" w:name="_Toc15396610"/>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color w:val="000000"/>
          <w:sz w:val="32"/>
          <w:szCs w:val="32"/>
        </w:rPr>
      </w:pPr>
      <w:r>
        <w:rPr>
          <w:rFonts w:hint="eastAsia" w:ascii="FangSong_GB2312" w:hAnsi="FangSong_GB2312" w:eastAsia="FangSong_GB2312"/>
          <w:color w:val="000000"/>
          <w:sz w:val="32"/>
        </w:rPr>
        <w:t>2020年政府性基金预算财政拨款支出0</w:t>
      </w:r>
      <w:r>
        <w:rPr>
          <w:rFonts w:hint="eastAsia" w:ascii="仿宋_GB2312" w:eastAsia="仿宋_GB2312"/>
          <w:color w:val="000000"/>
          <w:sz w:val="32"/>
          <w:szCs w:val="32"/>
        </w:rPr>
        <w:t>万元。</w:t>
      </w:r>
    </w:p>
    <w:p>
      <w:pPr>
        <w:numPr>
          <w:ilvl w:val="0"/>
          <w:numId w:val="2"/>
        </w:numPr>
        <w:spacing w:line="600" w:lineRule="exact"/>
        <w:ind w:firstLine="640"/>
        <w:outlineLvl w:val="1"/>
        <w:rPr>
          <w:rStyle w:val="25"/>
          <w:rFonts w:ascii="黑体" w:hAnsi="黑体" w:eastAsia="黑体"/>
          <w:b w:val="0"/>
        </w:rPr>
      </w:pPr>
      <w:bookmarkStart w:id="42" w:name="_Toc15396611"/>
      <w:bookmarkStart w:id="43" w:name="_Toc15377219"/>
      <w:r>
        <w:rPr>
          <w:rStyle w:val="25"/>
          <w:rFonts w:hint="eastAsia" w:ascii="黑体" w:hAnsi="黑体" w:eastAsia="黑体"/>
          <w:b w:val="0"/>
        </w:rPr>
        <w:t>国有资本经营预算支出决算情况说明</w:t>
      </w:r>
      <w:bookmarkEnd w:id="42"/>
      <w:bookmarkEnd w:id="4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20年国有资本经营</w:t>
      </w:r>
      <w:r>
        <w:rPr>
          <w:rFonts w:hint="eastAsia" w:ascii="FangSong_GB2312" w:hAnsi="FangSong_GB2312" w:eastAsia="FangSong_GB2312"/>
          <w:color w:val="000000"/>
          <w:sz w:val="32"/>
        </w:rPr>
        <w:t>预算财政拨</w:t>
      </w:r>
      <w:r>
        <w:rPr>
          <w:rFonts w:hint="eastAsia" w:ascii="仿宋_GB2312" w:eastAsia="仿宋_GB2312"/>
          <w:color w:val="000000"/>
          <w:sz w:val="32"/>
          <w:szCs w:val="32"/>
        </w:rPr>
        <w:t>款支出0万元。</w:t>
      </w:r>
    </w:p>
    <w:p>
      <w:pPr>
        <w:numPr>
          <w:ilvl w:val="0"/>
          <w:numId w:val="2"/>
        </w:numPr>
        <w:spacing w:line="600" w:lineRule="exact"/>
        <w:ind w:firstLine="640"/>
        <w:outlineLvl w:val="1"/>
        <w:rPr>
          <w:rStyle w:val="25"/>
          <w:rFonts w:ascii="黑体" w:hAnsi="黑体" w:eastAsia="黑体"/>
          <w:b w:val="0"/>
        </w:rPr>
      </w:pPr>
      <w:bookmarkStart w:id="44" w:name="_Toc15396612"/>
      <w:bookmarkStart w:id="45" w:name="_Toc15377221"/>
      <w:r>
        <w:rPr>
          <w:rStyle w:val="25"/>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color w:val="000000"/>
          <w:sz w:val="32"/>
          <w:szCs w:val="32"/>
        </w:rPr>
      </w:pPr>
      <w:bookmarkStart w:id="46" w:name="_Toc15377222"/>
      <w:r>
        <w:rPr>
          <w:rFonts w:hint="eastAsia" w:ascii="仿宋" w:hAnsi="仿宋" w:eastAsia="仿宋"/>
          <w:b/>
          <w:color w:val="000000"/>
          <w:sz w:val="32"/>
          <w:szCs w:val="32"/>
        </w:rPr>
        <w:t>（一）机关运行经费支出情况</w:t>
      </w:r>
      <w:bookmarkEnd w:id="46"/>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w:t>
      </w:r>
      <w:r>
        <w:rPr>
          <w:rFonts w:hint="eastAsia" w:ascii="仿宋_GB2312" w:eastAsia="仿宋_GB2312"/>
          <w:color w:val="000000"/>
          <w:sz w:val="32"/>
          <w:szCs w:val="32"/>
        </w:rPr>
        <w:t>20年，四川省人民政府驻重庆办事处机关运行经费支出124.82万元，比</w:t>
      </w:r>
      <w:r>
        <w:rPr>
          <w:rFonts w:ascii="仿宋_GB2312" w:eastAsia="仿宋_GB2312"/>
          <w:color w:val="000000"/>
          <w:sz w:val="32"/>
          <w:szCs w:val="32"/>
        </w:rPr>
        <w:t>201</w:t>
      </w:r>
      <w:r>
        <w:rPr>
          <w:rFonts w:hint="eastAsia" w:ascii="仿宋_GB2312" w:eastAsia="仿宋_GB2312"/>
          <w:color w:val="000000"/>
          <w:sz w:val="32"/>
          <w:szCs w:val="32"/>
        </w:rPr>
        <w:t>9年减少2.58万元，下降2.02</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主要原是厉行节约，压缩因公出国（境）经费和公务接待费等支出。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7" w:name="_Toc15377223"/>
      <w:r>
        <w:rPr>
          <w:rFonts w:hint="eastAsia" w:ascii="仿宋" w:hAnsi="仿宋" w:eastAsia="仿宋"/>
          <w:b/>
          <w:color w:val="000000"/>
          <w:sz w:val="32"/>
          <w:szCs w:val="32"/>
        </w:rPr>
        <w:t>（二）政府采购支出情况</w:t>
      </w:r>
      <w:bookmarkEnd w:id="47"/>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20年，四川省人民政府驻重庆办事处政府采购支出总额12.76万元，其中：政府采购货物支出8.06万元、政府采购工程支出0万元、政府采购服务支出4.71万元。主要用于车辆加油和保险服务、政府采购贫困地区农副产品。授予中小企业合同金额3.19万元，占政府采购支出总额的25</w:t>
      </w:r>
      <w:r>
        <w:rPr>
          <w:rFonts w:ascii="仿宋_GB2312" w:eastAsia="仿宋_GB2312"/>
          <w:color w:val="000000"/>
          <w:sz w:val="32"/>
          <w:szCs w:val="32"/>
        </w:rPr>
        <w:t>%</w:t>
      </w:r>
      <w:r>
        <w:rPr>
          <w:rFonts w:hint="eastAsia" w:ascii="仿宋_GB2312" w:eastAsia="仿宋_GB2312"/>
          <w:color w:val="000000"/>
          <w:sz w:val="32"/>
          <w:szCs w:val="32"/>
        </w:rPr>
        <w:t>，其中：授予小微企业合同金额3.19万元，占政府采购支出总额的25</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8" w:name="_Toc15377224"/>
      <w:r>
        <w:rPr>
          <w:rFonts w:hint="eastAsia" w:ascii="仿宋" w:hAnsi="仿宋" w:eastAsia="仿宋"/>
          <w:b/>
          <w:color w:val="000000"/>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rPr>
        <w:t>20年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日，四川省人民政府驻重庆办事处共有车辆2辆，其中：主要领导干部用车0辆、机要通信用车0辆、应急保障用车0辆、其他用车2辆，</w:t>
      </w:r>
      <w:r>
        <w:rPr>
          <w:rFonts w:hint="eastAsia" w:ascii="仿宋_GB2312" w:eastAsia="仿宋_GB2312"/>
          <w:color w:val="000000" w:themeColor="text1"/>
          <w:sz w:val="32"/>
          <w:szCs w:val="32"/>
        </w:rPr>
        <w:t>其他用车主要是用于开展投资促进活动。单价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万元以上通用设备0台（套），单价</w:t>
      </w:r>
      <w:r>
        <w:rPr>
          <w:rFonts w:ascii="仿宋_GB2312" w:eastAsia="仿宋_GB2312"/>
          <w:color w:val="000000" w:themeColor="text1"/>
          <w:sz w:val="32"/>
          <w:szCs w:val="32"/>
        </w:rPr>
        <w:t>10</w:t>
      </w:r>
      <w:r>
        <w:rPr>
          <w:rFonts w:hint="eastAsia" w:ascii="仿宋_GB2312" w:eastAsia="仿宋_GB2312"/>
          <w:color w:val="000000"/>
          <w:sz w:val="32"/>
          <w:szCs w:val="32"/>
        </w:rPr>
        <w:t>0万元以上专用设备0台（套）。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根据预算绩效管理要求，本单位无涉及开展绩效评价的项目。</w:t>
      </w:r>
    </w:p>
    <w:p>
      <w:pPr>
        <w:widowControl/>
        <w:ind w:firstLine="643" w:firstLineChars="200"/>
        <w:jc w:val="left"/>
        <w:rPr>
          <w:rFonts w:ascii="仿宋_GB2312" w:eastAsia="仿宋_GB2312"/>
          <w:b/>
          <w:color w:val="000000"/>
          <w:sz w:val="32"/>
          <w:szCs w:val="32"/>
        </w:rPr>
      </w:pPr>
      <w:r>
        <w:rPr>
          <w:rFonts w:ascii="仿宋_GB2312" w:eastAsia="仿宋_GB2312"/>
          <w:b/>
          <w:color w:val="000000"/>
          <w:sz w:val="32"/>
          <w:szCs w:val="32"/>
        </w:rPr>
        <w:br w:type="page"/>
      </w:r>
    </w:p>
    <w:p>
      <w:pPr>
        <w:jc w:val="left"/>
      </w:pPr>
    </w:p>
    <w:p>
      <w:pPr>
        <w:numPr>
          <w:ilvl w:val="0"/>
          <w:numId w:val="3"/>
        </w:numPr>
        <w:spacing w:line="600" w:lineRule="exact"/>
        <w:ind w:firstLine="660" w:firstLineChars="150"/>
        <w:jc w:val="center"/>
        <w:outlineLvl w:val="0"/>
        <w:rPr>
          <w:rStyle w:val="24"/>
          <w:rFonts w:ascii="黑体" w:hAnsi="黑体" w:eastAsia="黑体"/>
          <w:b w:val="0"/>
        </w:rPr>
      </w:pPr>
      <w:bookmarkStart w:id="49" w:name="_Toc15377225"/>
      <w:bookmarkStart w:id="50" w:name="_Toc15396613"/>
      <w:r>
        <w:rPr>
          <w:rFonts w:hint="eastAsia" w:ascii="黑体" w:hAnsi="黑体" w:eastAsia="黑体"/>
          <w:color w:val="000000"/>
          <w:sz w:val="44"/>
          <w:szCs w:val="44"/>
        </w:rPr>
        <w:t>名</w:t>
      </w:r>
      <w:r>
        <w:rPr>
          <w:rStyle w:val="24"/>
          <w:rFonts w:hint="eastAsia" w:ascii="黑体" w:hAnsi="黑体" w:eastAsia="黑体"/>
          <w:b w:val="0"/>
        </w:rPr>
        <w:t>词解释</w:t>
      </w:r>
      <w:bookmarkEnd w:id="49"/>
      <w:bookmarkEnd w:id="50"/>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一般公共预算拨款收入：指省级财政当年拨付的资金。    2.年初结转和结余：指以前年度尚未完成、结转到本年按有关规定继续使用的资金。</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3.基本支出：指为保障机构正常运转、完成日常工作任务所必需的人员经费和日常公用经费。</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4.项目支出：指在基本支出之外，为完成特定的行政工作任务或事业发展目标所发生的支出。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5.一般公共服务（类）商贸事务（款）行政运行（项）: 指反映行政单位（包括实行公务员管理的事业单位）的基本支出。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6.一般公共服务（类）商贸事务（款）一般行政管理事务（项）：指反映行政单位（包括实行公务员管理的事业单位）未单独设置项级科目的其他项目支出。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7.一般公共服务（类）商贸事务（款）招商引资（项）： 指反映用于招商引资、优化经济环境等方面的支出。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8.社会保障和就业（类）行政事业单位养老支出（款）行政事业单位离退休（项）：指反映行政单位（包括实行公务员管理的事业单位）开支的离休费支出。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9.社会保障和就业（类）行政事业单位养老支出（款）机关事业单位基本养老保险（项）：指反映机关事业单位实施养老保险制度由单位缴纳的基本保险费支出。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10.卫生健康支出（类）行政事业单位医疗（款）行政单位医疗（项）：指反映财政部门集中安排的行政单位基本医疗保险缴费经费，未参加医疗保险的行政单位的公费医疗经费，按国家规定享受离休人员、红军老战士待遇人员的医疗经费。</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11.卫生健康支出（类）行政事业单位医疗（款）公务员医疗补助（项）：指反映财政部门集中安排的公务员医疗补助经费。</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12.住房保障支出（类）住房改革支出（款）住房公积金（项）：指反映行政事业单位按人力资源和社会保障部、财政部规定的基本工资和津贴补贴以及规定的比例为职工缴纳的住房公积金。</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13.年末结转和结余：指本年度或以前年度预算安排、因客观条件发生变化无法按原计划实施，需延迟到以后年度按有关规定继续使用的资金。</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14.招商引资：是指地方政府（或地方政府成立的开发区）吸收投资（主要是非本地投资者）的活动。</w:t>
      </w:r>
    </w:p>
    <w:p>
      <w:pPr>
        <w:adjustRightInd w:val="0"/>
        <w:snapToGrid w:val="0"/>
        <w:spacing w:line="600" w:lineRule="exact"/>
        <w:ind w:firstLine="883" w:firstLineChars="200"/>
        <w:rPr>
          <w:rFonts w:ascii="仿宋_GB2312" w:hAnsi="仿宋_GB2312" w:eastAsia="仿宋_GB2312" w:cs="仿宋_GB2312"/>
          <w:color w:val="FF0000"/>
          <w:sz w:val="32"/>
          <w:szCs w:val="32"/>
        </w:rPr>
      </w:pPr>
      <w:bookmarkStart w:id="51" w:name="_Toc15377226"/>
      <w:r>
        <w:rPr>
          <w:rFonts w:ascii="宋体"/>
          <w:b/>
          <w:color w:val="000000"/>
          <w:sz w:val="44"/>
          <w:szCs w:val="44"/>
        </w:rPr>
        <w:br w:type="page"/>
      </w:r>
    </w:p>
    <w:p>
      <w:pPr>
        <w:numPr>
          <w:ilvl w:val="0"/>
          <w:numId w:val="3"/>
        </w:numPr>
        <w:spacing w:line="600" w:lineRule="exact"/>
        <w:ind w:firstLine="660" w:firstLineChars="150"/>
        <w:jc w:val="center"/>
        <w:outlineLvl w:val="0"/>
        <w:rPr>
          <w:rStyle w:val="24"/>
          <w:rFonts w:ascii="黑体" w:hAnsi="黑体" w:eastAsia="黑体"/>
          <w:b w:val="0"/>
        </w:rPr>
      </w:pPr>
      <w:bookmarkStart w:id="52" w:name="_Toc15396618"/>
      <w:r>
        <w:rPr>
          <w:rStyle w:val="24"/>
          <w:rFonts w:hint="eastAsia" w:ascii="黑体" w:hAnsi="黑体" w:eastAsia="黑体"/>
          <w:b w:val="0"/>
        </w:rPr>
        <w:t>附件</w:t>
      </w:r>
    </w:p>
    <w:p>
      <w:pPr>
        <w:pStyle w:val="2"/>
        <w:spacing w:before="93"/>
        <w:ind w:left="315" w:leftChars="150"/>
        <w:rPr>
          <w:rFonts w:hAnsi="Calibri" w:cs="仿宋"/>
          <w:color w:val="000000"/>
          <w:sz w:val="32"/>
          <w:szCs w:val="32"/>
        </w:rPr>
      </w:pPr>
      <w:r>
        <w:rPr>
          <w:rFonts w:hint="eastAsia" w:hAnsi="Calibri" w:cs="仿宋"/>
          <w:color w:val="000000"/>
          <w:sz w:val="32"/>
          <w:szCs w:val="32"/>
        </w:rPr>
        <w:t>无</w:t>
      </w:r>
    </w:p>
    <w:p>
      <w:pPr>
        <w:numPr>
          <w:ilvl w:val="0"/>
          <w:numId w:val="3"/>
        </w:numPr>
        <w:spacing w:line="600" w:lineRule="exact"/>
        <w:ind w:firstLine="660" w:firstLineChars="150"/>
        <w:jc w:val="center"/>
        <w:outlineLvl w:val="0"/>
        <w:rPr>
          <w:rFonts w:ascii="仿宋" w:hAnsi="仿宋" w:eastAsia="仿宋"/>
          <w:color w:val="000000"/>
        </w:rPr>
      </w:pPr>
      <w:r>
        <w:rPr>
          <w:rStyle w:val="24"/>
          <w:rFonts w:hint="eastAsia" w:ascii="黑体" w:hAnsi="黑体" w:eastAsia="黑体"/>
          <w:b w:val="0"/>
        </w:rPr>
        <w:t>附表</w:t>
      </w:r>
      <w:bookmarkEnd w:id="51"/>
      <w:bookmarkEnd w:id="52"/>
      <w:bookmarkStart w:id="53" w:name="_Toc15396619"/>
    </w:p>
    <w:p>
      <w:pPr>
        <w:spacing w:line="600" w:lineRule="exact"/>
        <w:outlineLvl w:val="0"/>
        <w:rPr>
          <w:rFonts w:ascii="仿宋" w:hAnsi="仿宋" w:eastAsia="仿宋"/>
          <w:color w:val="000000"/>
        </w:rPr>
      </w:pPr>
      <w:r>
        <w:rPr>
          <w:rStyle w:val="25"/>
          <w:rFonts w:hint="eastAsia" w:ascii="仿宋" w:hAnsi="仿宋" w:eastAsia="仿宋"/>
          <w:b w:val="0"/>
          <w:bCs w:val="0"/>
        </w:rPr>
        <w:t>一、收入支出决算总表</w:t>
      </w:r>
      <w:bookmarkEnd w:id="53"/>
    </w:p>
    <w:p>
      <w:pPr>
        <w:pStyle w:val="4"/>
        <w:rPr>
          <w:rFonts w:ascii="仿宋" w:hAnsi="仿宋" w:eastAsia="仿宋"/>
          <w:color w:val="000000"/>
        </w:rPr>
      </w:pPr>
      <w:bookmarkStart w:id="54"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54"/>
    </w:p>
    <w:p>
      <w:pPr>
        <w:pStyle w:val="4"/>
        <w:rPr>
          <w:rFonts w:ascii="仿宋" w:hAnsi="仿宋" w:eastAsia="仿宋"/>
          <w:color w:val="000000"/>
        </w:rPr>
      </w:pPr>
      <w:bookmarkStart w:id="55"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55"/>
    </w:p>
    <w:p>
      <w:pPr>
        <w:pStyle w:val="4"/>
        <w:rPr>
          <w:rFonts w:ascii="仿宋" w:hAnsi="仿宋" w:eastAsia="仿宋"/>
          <w:b w:val="0"/>
          <w:color w:val="000000"/>
        </w:rPr>
      </w:pPr>
      <w:bookmarkStart w:id="56"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56"/>
    </w:p>
    <w:p>
      <w:pPr>
        <w:pStyle w:val="4"/>
        <w:rPr>
          <w:rStyle w:val="25"/>
          <w:rFonts w:ascii="仿宋" w:hAnsi="仿宋" w:eastAsia="仿宋"/>
          <w:b w:val="0"/>
          <w:bCs w:val="0"/>
        </w:rPr>
      </w:pPr>
      <w:bookmarkStart w:id="57"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57"/>
      <w:bookmarkStart w:id="58" w:name="_Toc15396624"/>
    </w:p>
    <w:p>
      <w:pPr>
        <w:pStyle w:val="4"/>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58"/>
    </w:p>
    <w:p>
      <w:pPr>
        <w:pStyle w:val="4"/>
        <w:rPr>
          <w:rFonts w:ascii="仿宋" w:hAnsi="仿宋" w:eastAsia="仿宋"/>
          <w:color w:val="000000"/>
        </w:rPr>
      </w:pPr>
      <w:bookmarkStart w:id="59"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59"/>
    </w:p>
    <w:p>
      <w:pPr>
        <w:pStyle w:val="4"/>
        <w:rPr>
          <w:rFonts w:ascii="仿宋" w:hAnsi="仿宋" w:eastAsia="仿宋"/>
          <w:color w:val="000000"/>
        </w:rPr>
      </w:pPr>
      <w:bookmarkStart w:id="60"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0"/>
    </w:p>
    <w:p>
      <w:pPr>
        <w:pStyle w:val="4"/>
        <w:rPr>
          <w:rFonts w:ascii="仿宋" w:hAnsi="仿宋" w:eastAsia="仿宋"/>
          <w:color w:val="000000"/>
        </w:rPr>
      </w:pPr>
      <w:bookmarkStart w:id="61"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1"/>
    </w:p>
    <w:p>
      <w:pPr>
        <w:pStyle w:val="4"/>
        <w:rPr>
          <w:rFonts w:ascii="仿宋" w:hAnsi="仿宋" w:eastAsia="仿宋"/>
          <w:color w:val="000000"/>
        </w:rPr>
      </w:pPr>
      <w:bookmarkStart w:id="62"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2"/>
    </w:p>
    <w:p>
      <w:pPr>
        <w:pStyle w:val="4"/>
        <w:rPr>
          <w:rFonts w:ascii="仿宋" w:hAnsi="仿宋" w:eastAsia="仿宋"/>
          <w:color w:val="000000"/>
        </w:rPr>
      </w:pPr>
      <w:bookmarkStart w:id="63"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63"/>
    </w:p>
    <w:p>
      <w:pPr>
        <w:pStyle w:val="4"/>
        <w:rPr>
          <w:rFonts w:ascii="仿宋" w:hAnsi="仿宋" w:eastAsia="仿宋"/>
          <w:color w:val="000000"/>
        </w:rPr>
      </w:pPr>
      <w:bookmarkStart w:id="64"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64"/>
    </w:p>
    <w:p>
      <w:pPr>
        <w:pStyle w:val="4"/>
        <w:rPr>
          <w:rStyle w:val="25"/>
          <w:rFonts w:ascii="仿宋" w:hAnsi="仿宋" w:eastAsia="仿宋"/>
          <w:b w:val="0"/>
          <w:bCs w:val="0"/>
        </w:rPr>
      </w:pPr>
      <w:bookmarkStart w:id="65"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有资本经营预算财政拨款收入支出决算表</w:t>
      </w:r>
      <w:bookmarkEnd w:id="65"/>
    </w:p>
    <w:p>
      <w:pPr>
        <w:rPr>
          <w:rFonts w:eastAsia="仿宋"/>
        </w:rPr>
      </w:pPr>
      <w:r>
        <w:rPr>
          <w:rStyle w:val="25"/>
          <w:rFonts w:hint="eastAsia" w:ascii="仿宋" w:hAnsi="仿宋" w:eastAsia="仿宋"/>
          <w:b w:val="0"/>
          <w:bCs w:val="0"/>
        </w:rPr>
        <w:t>十四、国有资本经营预算财政拨款支出决算表</w:t>
      </w:r>
    </w:p>
    <w:sectPr>
      <w:footerReference r:id="rId11" w:type="first"/>
      <w:footerReference r:id="rId10" w:type="default"/>
      <w:pgSz w:w="11906" w:h="16838"/>
      <w:pgMar w:top="1440" w:right="1800" w:bottom="1440" w:left="1800"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00" w:usb3="00000000" w:csb0="00040000" w:csb1="00000000"/>
  </w:font>
  <w:font w:name="FangSong_GB2312">
    <w:altName w:val="仿宋"/>
    <w:panose1 w:val="02010609060101010101"/>
    <w:charset w:val="00"/>
    <w:family w:val="swiss"/>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path/>
          <v:fill on="f" focussize="0,0"/>
          <v:stroke on="f" weight="0.5pt" joinstyle="miter"/>
          <v:imagedata o:title=""/>
          <o:lock v:ext="edit"/>
          <v:textbox inset="0mm,0mm,0mm,0mm" style="mso-fit-shape-to-text:t;">
            <w:txbxContent>
              <w:p>
                <w:pPr>
                  <w:pStyle w:val="2"/>
                  <w:spacing w:before="72"/>
                </w:pPr>
                <w:r>
                  <w:fldChar w:fldCharType="begin"/>
                </w:r>
                <w:r>
                  <w:instrText xml:space="preserve"> PAGE  \* MERGEFORMAT </w:instrText>
                </w:r>
                <w:r>
                  <w:fldChar w:fldCharType="separate"/>
                </w:r>
                <w:r>
                  <w:t>- 9 -</w:t>
                </w:r>
                <w:r>
                  <w:fldChar w:fldCharType="end"/>
                </w:r>
              </w:p>
            </w:txbxContent>
          </v:textbox>
        </v:shape>
      </w:pict>
    </w:r>
  </w:p>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72"/>
    </w:pPr>
    <w:r>
      <w:rPr>
        <w:sz w:val="18"/>
      </w:rPr>
      <w:pict>
        <v:shape id="_x0000_s2050" o:spid="_x0000_s2050" o:spt="202" type="#_x0000_t202" style="position:absolute;left:0pt;margin-left:175.55pt;margin-top:-8.95pt;height:40.15pt;width:55.9pt;mso-position-horizontal-relative:margin;z-index:251661312;mso-width-relative:page;mso-height-relative:page;" filled="f" stroked="f" coordsize="21600,21600" o:gfxdata="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VFttK2QAAAAoBAAAPAAAAAAAAAAEAIAAAACIAAABkcnMvZG93bnJl&#10;di54bWxQSwECFAAUAAAACACHTuJA6S8pvDUCAABhBAAADgAAAAAAAAABACAAAAAoAQAAZHJzL2Uy&#10;b0RvYy54bWxQSwUGAAAAAAYABgBZAQAAzwUAAAAA&#10;">
          <v:path/>
          <v:fill on="f" focussize="0,0"/>
          <v:stroke on="f" weight="0.5pt" joinstyle="miter"/>
          <v:imagedata o:title=""/>
          <o:lock v:ext="edit"/>
          <v:textbox inset="0mm,0mm,0mm,0mm">
            <w:txbxContent>
              <w:p>
                <w:pPr>
                  <w:pStyle w:val="8"/>
                  <w:jc w:val="center"/>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- 1 -</w:t>
                </w:r>
                <w:r>
                  <w:rPr>
                    <w:sz w:val="32"/>
                    <w:szCs w:val="32"/>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2A27"/>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719C5"/>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47D22"/>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3A29"/>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861244"/>
    <w:rsid w:val="08123B7D"/>
    <w:rsid w:val="0A2032A3"/>
    <w:rsid w:val="0E7D05BF"/>
    <w:rsid w:val="10C055FF"/>
    <w:rsid w:val="10C57D6B"/>
    <w:rsid w:val="118107EC"/>
    <w:rsid w:val="11836FA3"/>
    <w:rsid w:val="16BB723D"/>
    <w:rsid w:val="18015F3F"/>
    <w:rsid w:val="1B227DDE"/>
    <w:rsid w:val="1BE8440E"/>
    <w:rsid w:val="1D155CEE"/>
    <w:rsid w:val="1FC70B0A"/>
    <w:rsid w:val="20F57F95"/>
    <w:rsid w:val="22572824"/>
    <w:rsid w:val="240371BF"/>
    <w:rsid w:val="255A7AA4"/>
    <w:rsid w:val="29FD04D3"/>
    <w:rsid w:val="2ABE7A3E"/>
    <w:rsid w:val="319F7F4E"/>
    <w:rsid w:val="3C0C0783"/>
    <w:rsid w:val="3DF15216"/>
    <w:rsid w:val="3E831F22"/>
    <w:rsid w:val="48786090"/>
    <w:rsid w:val="496F39ED"/>
    <w:rsid w:val="4BE068DB"/>
    <w:rsid w:val="4BF6002B"/>
    <w:rsid w:val="4ECE2238"/>
    <w:rsid w:val="522E04E2"/>
    <w:rsid w:val="59EF29E0"/>
    <w:rsid w:val="5A456AFA"/>
    <w:rsid w:val="64CA39A1"/>
    <w:rsid w:val="6C4A05C8"/>
    <w:rsid w:val="72734D9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chart" Target="charts/chart7.xml"/><Relationship Id="rId18" Type="http://schemas.openxmlformats.org/officeDocument/2006/relationships/chart" Target="charts/chart6.xml"/><Relationship Id="rId17" Type="http://schemas.openxmlformats.org/officeDocument/2006/relationships/chart" Target="charts/chart5.xml"/><Relationship Id="rId16" Type="http://schemas.openxmlformats.org/officeDocument/2006/relationships/chart" Target="charts/chart4.xml"/><Relationship Id="rId15" Type="http://schemas.openxmlformats.org/officeDocument/2006/relationships/chart" Target="charts/chart3.xml"/><Relationship Id="rId14" Type="http://schemas.openxmlformats.org/officeDocument/2006/relationships/chart" Target="charts/chart2.xml"/><Relationship Id="rId13" Type="http://schemas.openxmlformats.org/officeDocument/2006/relationships/chart" Target="charts/chart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yj\Desktop\&#26032;&#24314;%20XLSX%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yj\Desktop\&#26032;&#24314;%20XLSX%20&#24037;&#20316;&#34920;.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cyj\Desktop\&#26032;&#24314;%20XLSX%20&#24037;&#20316;&#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yj\Desktop\&#26032;&#24314;%20XLSX%20&#24037;&#20316;&#34920;%20(2).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c:f>
              <c:strCache>
                <c:ptCount val="1"/>
                <c:pt idx="0">
                  <c:v>2019</c:v>
                </c:pt>
              </c:strCache>
            </c:strRef>
          </c:tx>
          <c:spPr>
            <a:solidFill>
              <a:schemeClr val="accent1"/>
            </a:solidFill>
            <a:ln>
              <a:noFill/>
            </a:ln>
            <a:effectLst/>
          </c:spPr>
          <c:invertIfNegative val="0"/>
          <c:dLbls>
            <c:delete val="1"/>
          </c:dLbls>
          <c:cat>
            <c:strRef>
              <c:f>{"收、支决算总计变动情况图"}</c:f>
              <c:strCache>
                <c:ptCount val="1"/>
                <c:pt idx="0">
                  <c:v>收、支决算总计变动情况图</c:v>
                </c:pt>
              </c:strCache>
            </c:strRef>
          </c:cat>
          <c:val>
            <c:numRef>
              <c:f>{444.32}</c:f>
              <c:numCache>
                <c:formatCode>General</c:formatCode>
                <c:ptCount val="1"/>
                <c:pt idx="0">
                  <c:v>444.32</c:v>
                </c:pt>
              </c:numCache>
            </c:numRef>
          </c:val>
        </c:ser>
        <c:ser>
          <c:idx val="1"/>
          <c:order val="1"/>
          <c:tx>
            <c:strRef>
              <c:f>"2020"</c:f>
              <c:strCache>
                <c:ptCount val="1"/>
                <c:pt idx="0">
                  <c:v>2020</c:v>
                </c:pt>
              </c:strCache>
            </c:strRef>
          </c:tx>
          <c:spPr>
            <a:solidFill>
              <a:schemeClr val="accent2"/>
            </a:solidFill>
            <a:ln>
              <a:noFill/>
            </a:ln>
            <a:effectLst/>
          </c:spPr>
          <c:invertIfNegative val="0"/>
          <c:dLbls>
            <c:delete val="1"/>
          </c:dLbls>
          <c:cat>
            <c:strRef>
              <c:f>{"收、支决算总计变动情况图"}</c:f>
              <c:strCache>
                <c:ptCount val="1"/>
                <c:pt idx="0">
                  <c:v>收、支决算总计变动情况图</c:v>
                </c:pt>
              </c:strCache>
            </c:strRef>
          </c:cat>
          <c:val>
            <c:numRef>
              <c:f>{662.38}</c:f>
              <c:numCache>
                <c:formatCode>General</c:formatCode>
                <c:ptCount val="1"/>
                <c:pt idx="0">
                  <c:v>662.38</c:v>
                </c:pt>
              </c:numCache>
            </c:numRef>
          </c:val>
        </c:ser>
        <c:dLbls>
          <c:showLegendKey val="0"/>
          <c:showVal val="0"/>
          <c:showCatName val="0"/>
          <c:showSerName val="0"/>
          <c:showPercent val="0"/>
          <c:showBubbleSize val="0"/>
        </c:dLbls>
        <c:gapWidth val="219"/>
        <c:overlap val="-27"/>
        <c:axId val="96329088"/>
        <c:axId val="96334976"/>
      </c:barChart>
      <c:catAx>
        <c:axId val="9632908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334976"/>
        <c:crosses val="autoZero"/>
        <c:auto val="1"/>
        <c:lblAlgn val="ctr"/>
        <c:lblOffset val="100"/>
        <c:noMultiLvlLbl val="0"/>
      </c:catAx>
      <c:valAx>
        <c:axId val="963349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3290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"收入结构图"</c:f>
              <c:strCache>
                <c:ptCount val="1"/>
                <c:pt idx="0">
                  <c:v>收入结构图</c:v>
                </c:pt>
              </c:strCache>
            </c:strRef>
          </c:tx>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{"一般公共预算财政拨款收入"}</c:f>
              <c:strCache>
                <c:ptCount val="1"/>
                <c:pt idx="0">
                  <c:v>一般公共预算财政拨款收入</c:v>
                </c:pt>
              </c:strCache>
            </c:strRef>
          </c:cat>
          <c:val>
            <c:numRef>
              <c:f>{100}</c:f>
              <c:numCache>
                <c:formatCode>General</c:formatCode>
                <c:ptCount val="1"/>
                <c:pt idx="0">
                  <c:v>100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支出结构图</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项目支出</c:v>
                </c:pt>
                <c:pt idx="1">
                  <c:v>基本支出</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150.72</c:v>
                </c:pt>
                <c:pt idx="1">
                  <c:v>376.87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c:f>
              <c:strCache>
                <c:ptCount val="1"/>
                <c:pt idx="0">
                  <c:v>2019</c:v>
                </c:pt>
              </c:strCache>
            </c:strRef>
          </c:tx>
          <c:spPr>
            <a:solidFill>
              <a:schemeClr val="accent1"/>
            </a:solidFill>
            <a:ln>
              <a:noFill/>
            </a:ln>
            <a:effectLst/>
          </c:spPr>
          <c:invertIfNegative val="0"/>
          <c:dLbls>
            <c:delete val="1"/>
          </c:dLbls>
          <c:cat>
            <c:strRef>
              <c:f>{"财政拨款收、支决算总计变动情况"}</c:f>
              <c:strCache>
                <c:ptCount val="1"/>
                <c:pt idx="0">
                  <c:v>财政拨款收、支决算总计变动情况</c:v>
                </c:pt>
              </c:strCache>
            </c:strRef>
          </c:cat>
          <c:val>
            <c:numRef>
              <c:f>{444.32}</c:f>
              <c:numCache>
                <c:formatCode>General</c:formatCode>
                <c:ptCount val="1"/>
                <c:pt idx="0">
                  <c:v>444.32</c:v>
                </c:pt>
              </c:numCache>
            </c:numRef>
          </c:val>
        </c:ser>
        <c:ser>
          <c:idx val="1"/>
          <c:order val="1"/>
          <c:tx>
            <c:strRef>
              <c:f>"2020"</c:f>
              <c:strCache>
                <c:ptCount val="1"/>
                <c:pt idx="0">
                  <c:v>2020</c:v>
                </c:pt>
              </c:strCache>
            </c:strRef>
          </c:tx>
          <c:spPr>
            <a:solidFill>
              <a:schemeClr val="accent2"/>
            </a:solidFill>
            <a:ln>
              <a:noFill/>
            </a:ln>
            <a:effectLst/>
          </c:spPr>
          <c:invertIfNegative val="0"/>
          <c:dLbls>
            <c:delete val="1"/>
          </c:dLbls>
          <c:cat>
            <c:strRef>
              <c:f>{"财政拨款收、支决算总计变动情况"}</c:f>
              <c:strCache>
                <c:ptCount val="1"/>
                <c:pt idx="0">
                  <c:v>财政拨款收、支决算总计变动情况</c:v>
                </c:pt>
              </c:strCache>
            </c:strRef>
          </c:cat>
          <c:val>
            <c:numRef>
              <c:f>{662.38}</c:f>
              <c:numCache>
                <c:formatCode>General</c:formatCode>
                <c:ptCount val="1"/>
                <c:pt idx="0">
                  <c:v>662.38</c:v>
                </c:pt>
              </c:numCache>
            </c:numRef>
          </c:val>
        </c:ser>
        <c:dLbls>
          <c:showLegendKey val="0"/>
          <c:showVal val="0"/>
          <c:showCatName val="0"/>
          <c:showSerName val="0"/>
          <c:showPercent val="0"/>
          <c:showBubbleSize val="0"/>
        </c:dLbls>
        <c:gapWidth val="219"/>
        <c:overlap val="-27"/>
        <c:axId val="96555008"/>
        <c:axId val="96556544"/>
      </c:barChart>
      <c:catAx>
        <c:axId val="9655500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556544"/>
        <c:crosses val="autoZero"/>
        <c:auto val="1"/>
        <c:lblAlgn val="ctr"/>
        <c:lblOffset val="100"/>
        <c:noMultiLvlLbl val="0"/>
      </c:catAx>
      <c:valAx>
        <c:axId val="965565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5550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38921377517869"/>
          <c:y val="0.0718157181571816"/>
          <c:w val="0.901416504223522"/>
          <c:h val="0.686558265582656"/>
        </c:manualLayout>
      </c:layout>
      <c:barChart>
        <c:barDir val="col"/>
        <c:grouping val="clustered"/>
        <c:varyColors val="0"/>
        <c:ser>
          <c:idx val="0"/>
          <c:order val="0"/>
          <c:tx>
            <c:strRef>
              <c:f>"2019"</c:f>
              <c:strCache>
                <c:ptCount val="1"/>
                <c:pt idx="0">
                  <c:v>2019</c:v>
                </c:pt>
              </c:strCache>
            </c:strRef>
          </c:tx>
          <c:spPr>
            <a:solidFill>
              <a:schemeClr val="accent1"/>
            </a:solidFill>
            <a:ln>
              <a:noFill/>
            </a:ln>
            <a:effectLst/>
          </c:spPr>
          <c:invertIfNegative val="0"/>
          <c:dLbls>
            <c:delete val="1"/>
          </c:dLbls>
          <c:cat>
            <c:strRef>
              <c:f>{"一般公共预算财政拨款支出决算变动情况"}</c:f>
              <c:strCache>
                <c:ptCount val="1"/>
                <c:pt idx="0">
                  <c:v>一般公共预算财政拨款支出决算变动情况</c:v>
                </c:pt>
              </c:strCache>
            </c:strRef>
          </c:cat>
          <c:val>
            <c:numRef>
              <c:f>{400.31}</c:f>
              <c:numCache>
                <c:formatCode>General</c:formatCode>
                <c:ptCount val="1"/>
                <c:pt idx="0">
                  <c:v>400.31</c:v>
                </c:pt>
              </c:numCache>
            </c:numRef>
          </c:val>
        </c:ser>
        <c:ser>
          <c:idx val="1"/>
          <c:order val="1"/>
          <c:tx>
            <c:strRef>
              <c:f>"2020"</c:f>
              <c:strCache>
                <c:ptCount val="1"/>
                <c:pt idx="0">
                  <c:v>2020</c:v>
                </c:pt>
              </c:strCache>
            </c:strRef>
          </c:tx>
          <c:spPr>
            <a:solidFill>
              <a:schemeClr val="accent2"/>
            </a:solidFill>
            <a:ln>
              <a:noFill/>
            </a:ln>
            <a:effectLst/>
          </c:spPr>
          <c:invertIfNegative val="0"/>
          <c:dLbls>
            <c:delete val="1"/>
          </c:dLbls>
          <c:cat>
            <c:strRef>
              <c:f>{"一般公共预算财政拨款支出决算变动情况"}</c:f>
              <c:strCache>
                <c:ptCount val="1"/>
                <c:pt idx="0">
                  <c:v>一般公共预算财政拨款支出决算变动情况</c:v>
                </c:pt>
              </c:strCache>
            </c:strRef>
          </c:cat>
          <c:val>
            <c:numRef>
              <c:f>{527.59}</c:f>
              <c:numCache>
                <c:formatCode>General</c:formatCode>
                <c:ptCount val="1"/>
                <c:pt idx="0">
                  <c:v>527.59</c:v>
                </c:pt>
              </c:numCache>
            </c:numRef>
          </c:val>
        </c:ser>
        <c:dLbls>
          <c:showLegendKey val="0"/>
          <c:showVal val="0"/>
          <c:showCatName val="0"/>
          <c:showSerName val="0"/>
          <c:showPercent val="0"/>
          <c:showBubbleSize val="0"/>
        </c:dLbls>
        <c:gapWidth val="219"/>
        <c:overlap val="-27"/>
        <c:axId val="96590080"/>
        <c:axId val="89784320"/>
      </c:barChart>
      <c:catAx>
        <c:axId val="9659008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784320"/>
        <c:crosses val="autoZero"/>
        <c:auto val="1"/>
        <c:lblAlgn val="ctr"/>
        <c:lblOffset val="100"/>
        <c:noMultiLvlLbl val="0"/>
      </c:catAx>
      <c:valAx>
        <c:axId val="897843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5900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一般公共服务（类）支出</c:v>
                </c:pt>
                <c:pt idx="1">
                  <c:v>社会保障和就业（类）支出</c:v>
                </c:pt>
                <c:pt idx="2">
                  <c:v>卫生健康支出</c:v>
                </c:pt>
                <c:pt idx="3">
                  <c:v>住房保障支出</c:v>
                </c:pt>
              </c:strCache>
            </c:strRef>
          </c:cat>
          <c:val>
            <c:numRef>
              <c:f>Sheet1!$B$2:$B$5</c:f>
              <c:numCache>
                <c:formatCode>General</c:formatCode>
                <c:ptCount val="4"/>
                <c:pt idx="0">
                  <c:v>457.91</c:v>
                </c:pt>
                <c:pt idx="1">
                  <c:v>31.69</c:v>
                </c:pt>
                <c:pt idx="2">
                  <c:v>17.74</c:v>
                </c:pt>
                <c:pt idx="3">
                  <c:v>20.25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Sheet1!$A$2:$A$5</c15:sqref>
                  </c15:fullRef>
                </c:ext>
              </c:extLst>
              <c:f>Sheet1!$A$2:$A$4</c:f>
              <c:strCache>
                <c:ptCount val="3"/>
                <c:pt idx="0">
                  <c:v>公务接待费支出</c:v>
                </c:pt>
                <c:pt idx="1">
                  <c:v>公务用车购置及运行维护费支出</c:v>
                </c:pt>
                <c:pt idx="2">
                  <c:v>因公出国（境）费支出</c:v>
                </c:pt>
              </c:strCache>
            </c:strRef>
          </c:cat>
          <c:val>
            <c:numRef>
              <c:extLst>
                <c:ext xmlns:c15="http://schemas.microsoft.com/office/drawing/2012/chart" uri="{02D57815-91ED-43cb-92C2-25804820EDAC}">
                  <c15:fullRef>
                    <c15:sqref>Sheet1!$B$2:$B$5</c15:sqref>
                  </c15:fullRef>
                </c:ext>
              </c:extLst>
              <c:f>Sheet1!$B$2:$B$4</c:f>
              <c:numCache>
                <c:formatCode>General</c:formatCode>
                <c:ptCount val="3"/>
                <c:pt idx="0">
                  <c:v>18.97</c:v>
                </c:pt>
                <c:pt idx="1">
                  <c:v>9.51</c:v>
                </c:pt>
                <c:pt idx="2">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1028</Words>
  <Characters>5862</Characters>
  <Lines>48</Lines>
  <Paragraphs>13</Paragraphs>
  <TotalTime>4</TotalTime>
  <ScaleCrop>false</ScaleCrop>
  <LinksUpToDate>false</LinksUpToDate>
  <CharactersWithSpaces>6877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2021-09-08T04:18:00Z</cp:lastPrinted>
  <dcterms:modified xsi:type="dcterms:W3CDTF">2022-11-11T04:45:26Z</dcterms:modified>
  <dc:title>四川省***</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30C04D3D369947EE9BFB5CF69C349F07</vt:lpwstr>
  </property>
</Properties>
</file>